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05B49" w14:textId="77777777" w:rsidR="00D328FD" w:rsidRDefault="00E33159">
      <w:pPr>
        <w:pStyle w:val="Tytu"/>
      </w:pPr>
      <w:r>
        <w:t>Analiza tematyczna danych TIMSS za pomocą IEA IDB Analyzer</w:t>
      </w:r>
    </w:p>
    <w:p w14:paraId="5BAB02F1" w14:textId="77777777" w:rsidR="00D328FD" w:rsidRDefault="00E33159">
      <w:pPr>
        <w:pStyle w:val="Podtytu"/>
      </w:pPr>
      <w:r>
        <w:t>Ocena związku płci, kraju, lokalizacji szkoły i statusu społeczno-ekonomicznego z wynikiami w zakresie biologii i rozumowania matematycznego. W poradniku wykorzystano statystyki opisowe i analizę regresji liniowej.</w:t>
      </w:r>
    </w:p>
    <w:p w14:paraId="4A9CC878" w14:textId="77777777" w:rsidR="00D328FD" w:rsidRDefault="00E33159">
      <w:pPr>
        <w:pStyle w:val="Author"/>
      </w:pPr>
      <w:r>
        <w:t>Jan Szczypiński</w:t>
      </w:r>
    </w:p>
    <w:p w14:paraId="7BC3732A" w14:textId="77777777" w:rsidR="00D328FD" w:rsidRDefault="00E33159">
      <w:pPr>
        <w:pStyle w:val="Data"/>
      </w:pPr>
      <w:r>
        <w:t>2025-10-02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853530320"/>
        <w:docPartObj>
          <w:docPartGallery w:val="Table of Contents"/>
          <w:docPartUnique/>
        </w:docPartObj>
      </w:sdtPr>
      <w:sdtEndPr/>
      <w:sdtContent>
        <w:p w14:paraId="14260EB7" w14:textId="77777777" w:rsidR="00D328FD" w:rsidRDefault="00E33159">
          <w:pPr>
            <w:pStyle w:val="Nagwekspisutreci"/>
          </w:pPr>
          <w:r>
            <w:t>Spis treści</w:t>
          </w:r>
        </w:p>
        <w:p w14:paraId="130F5115" w14:textId="77777777" w:rsidR="00E33159" w:rsidRDefault="00E33159">
          <w:pPr>
            <w:pStyle w:val="Spistreci2"/>
            <w:tabs>
              <w:tab w:val="right" w:leader="dot" w:pos="9396"/>
            </w:tabs>
            <w:rPr>
              <w:noProof/>
            </w:rPr>
          </w:pPr>
          <w:r>
            <w:fldChar w:fldCharType="begin"/>
          </w:r>
          <w:r>
            <w:instrText>TO</w:instrText>
          </w:r>
          <w:r>
            <w:instrText>C \o "1-5" \h \z \u</w:instrText>
          </w:r>
          <w:r>
            <w:fldChar w:fldCharType="separate"/>
          </w:r>
          <w:hyperlink w:anchor="_Toc210303336" w:history="1">
            <w:r w:rsidRPr="00F52B8C">
              <w:rPr>
                <w:rStyle w:val="Hipercze"/>
                <w:noProof/>
              </w:rPr>
              <w:t>1 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_Toc210303336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65ADC" w14:textId="77777777" w:rsidR="00E33159" w:rsidRDefault="00E33159">
          <w:pPr>
            <w:pStyle w:val="Spistreci2"/>
            <w:tabs>
              <w:tab w:val="right" w:leader="dot" w:pos="9396"/>
            </w:tabs>
            <w:rPr>
              <w:noProof/>
            </w:rPr>
          </w:pPr>
          <w:hyperlink w:anchor="_Toc210303337" w:history="1">
            <w:r w:rsidRPr="00F52B8C">
              <w:rPr>
                <w:rStyle w:val="Hipercze"/>
                <w:noProof/>
              </w:rPr>
              <w:t>2 Pobieranie i łączenie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_Toc210303337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887A9" w14:textId="77777777" w:rsidR="00E33159" w:rsidRDefault="00E33159">
          <w:pPr>
            <w:pStyle w:val="Spistreci2"/>
            <w:tabs>
              <w:tab w:val="right" w:leader="dot" w:pos="9396"/>
            </w:tabs>
            <w:rPr>
              <w:noProof/>
            </w:rPr>
          </w:pPr>
          <w:hyperlink w:anchor="_Toc210303338" w:history="1">
            <w:r w:rsidRPr="00F52B8C">
              <w:rPr>
                <w:rStyle w:val="Hipercze"/>
                <w:noProof/>
              </w:rPr>
              <w:t>3 Statystyki opisowe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_Toc210303338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91ACA" w14:textId="77777777" w:rsidR="00E33159" w:rsidRDefault="00E33159">
          <w:pPr>
            <w:pStyle w:val="Spistreci2"/>
            <w:tabs>
              <w:tab w:val="right" w:leader="dot" w:pos="9396"/>
            </w:tabs>
            <w:rPr>
              <w:noProof/>
            </w:rPr>
          </w:pPr>
          <w:hyperlink w:anchor="_Toc210303339" w:history="1">
            <w:r w:rsidRPr="00F52B8C">
              <w:rPr>
                <w:rStyle w:val="Hipercze"/>
                <w:noProof/>
              </w:rPr>
              <w:t>4 Wielkość miejscowości szkoły a wyniki rozumowania matematycznego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_Toc210303339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57A4B" w14:textId="77777777" w:rsidR="00E33159" w:rsidRDefault="00E33159">
          <w:pPr>
            <w:pStyle w:val="Spistreci2"/>
            <w:tabs>
              <w:tab w:val="right" w:leader="dot" w:pos="9396"/>
            </w:tabs>
            <w:rPr>
              <w:noProof/>
            </w:rPr>
          </w:pPr>
          <w:hyperlink w:anchor="_Toc210303340" w:history="1">
            <w:r w:rsidRPr="00F52B8C">
              <w:rPr>
                <w:rStyle w:val="Hipercze"/>
                <w:noProof/>
              </w:rPr>
              <w:t>5 Status społeczno-ekonomiczny a wyniki z zakresu biologii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_Toc210303340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3187F4" w14:textId="77777777" w:rsidR="00E33159" w:rsidRDefault="00E33159">
          <w:pPr>
            <w:pStyle w:val="Spistreci2"/>
            <w:tabs>
              <w:tab w:val="right" w:leader="dot" w:pos="9396"/>
            </w:tabs>
            <w:rPr>
              <w:noProof/>
            </w:rPr>
          </w:pPr>
          <w:hyperlink w:anchor="_Toc210303341" w:history="1">
            <w:r w:rsidRPr="00F52B8C">
              <w:rPr>
                <w:rStyle w:val="Hipercze"/>
                <w:noProof/>
              </w:rPr>
              <w:t>6 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_Toc210303341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98D62" w14:textId="77777777" w:rsidR="00D328FD" w:rsidRDefault="00E33159">
          <w:r>
            <w:fldChar w:fldCharType="end"/>
          </w:r>
        </w:p>
      </w:sdtContent>
    </w:sdt>
    <w:p w14:paraId="35F1B840" w14:textId="77777777" w:rsidR="00D328FD" w:rsidRDefault="00E33159">
      <w:pPr>
        <w:pStyle w:val="Nagwek2"/>
      </w:pPr>
      <w:bookmarkStart w:id="0" w:name="wprowadzenie"/>
      <w:bookmarkStart w:id="1" w:name="_Toc210303336"/>
      <w:r>
        <w:t>1 Wprowadzenie</w:t>
      </w:r>
      <w:bookmarkEnd w:id="1"/>
    </w:p>
    <w:p w14:paraId="15364C50" w14:textId="77777777" w:rsidR="00D328FD" w:rsidRDefault="00E33159">
      <w:pPr>
        <w:pStyle w:val="FirstParagraph"/>
      </w:pPr>
      <w:r>
        <w:t>Ten dokument przedstawia przygotowanie i analizę zestawu danych TIMSS 2023 (Trends in International Mathematics and Science Study 2023) przy użyciu IEA IDB Analyzer. Badanie TIMSS jest przeprowadzane co 4 lata i ma n</w:t>
      </w:r>
      <w:r>
        <w:t>a celu ocenę umiejętności z zakresu matematyki i nauk przyrodniczych uczniów klas 4 i 8.</w:t>
      </w:r>
      <w:r>
        <w:br/>
        <w:t>Przedstawiona tutaj analiza koncentruje się na różnicach z zakresu rozumowanania matematycznego i biologii, według kraju i płci.</w:t>
      </w:r>
      <w:r>
        <w:br/>
        <w:t>Rozumowanie matematyczne jest poddzied</w:t>
      </w:r>
      <w:r>
        <w:t>ziną szerszego obszaru umiejętności z zakresu matematyki a biologia jest poddziedziną szerszego obszaru umiejętności z zakresu nauk przyrodniczych.</w:t>
      </w:r>
      <w:r>
        <w:br/>
        <w:t>W poradniku wykorzystano również regresję liniową do zbadania:</w:t>
      </w:r>
    </w:p>
    <w:p w14:paraId="5F1A6377" w14:textId="77777777" w:rsidR="00D328FD" w:rsidRDefault="00E33159">
      <w:pPr>
        <w:numPr>
          <w:ilvl w:val="0"/>
          <w:numId w:val="13"/>
        </w:numPr>
      </w:pPr>
      <w:r>
        <w:t>związku między wielkością miasta/wsi, w które</w:t>
      </w:r>
      <w:r>
        <w:t>j zlokalizowana jest szkoła a wynikami rozumowania matematycznego;</w:t>
      </w:r>
    </w:p>
    <w:p w14:paraId="1266B43C" w14:textId="77777777" w:rsidR="00D328FD" w:rsidRDefault="00E33159">
      <w:pPr>
        <w:numPr>
          <w:ilvl w:val="0"/>
          <w:numId w:val="13"/>
        </w:numPr>
      </w:pPr>
      <w:r>
        <w:t>związku między statusem społeczno-ekonomicznym (SES) a wynikami z zakresu biologii;</w:t>
      </w:r>
    </w:p>
    <w:p w14:paraId="091D19C6" w14:textId="77777777" w:rsidR="00D328FD" w:rsidRDefault="00E33159">
      <w:pPr>
        <w:pStyle w:val="FirstParagraph"/>
      </w:pPr>
      <w:r>
        <w:t>Skupimy się na uczniach klas 4 z Polski, Niemiec, Gruzji i Nowej Zelandii.</w:t>
      </w:r>
    </w:p>
    <w:tbl>
      <w:tblPr>
        <w:tblStyle w:val="Table"/>
        <w:tblW w:w="5000" w:type="pct"/>
        <w:tblInd w:w="164" w:type="dxa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694"/>
      </w:tblGrid>
      <w:tr w:rsidR="00D328FD" w14:paraId="0C19C047" w14:textId="77777777" w:rsidTr="00D328FD">
        <w:trPr>
          <w:cantSplit/>
        </w:trPr>
        <w:tc>
          <w:tcPr>
            <w:tcW w:w="0" w:type="auto"/>
            <w:shd w:val="clear" w:color="auto" w:fill="DAE6FB"/>
            <w:tcMar>
              <w:top w:w="92" w:type="dxa"/>
              <w:bottom w:w="92" w:type="dxa"/>
            </w:tcMar>
          </w:tcPr>
          <w:p w14:paraId="3C726858" w14:textId="77777777" w:rsidR="00D328FD" w:rsidRDefault="00E33159">
            <w:pPr>
              <w:pStyle w:val="Tekstpodstawowy"/>
              <w:spacing w:before="0" w:after="0"/>
              <w:textAlignment w:val="center"/>
            </w:pPr>
            <w:r>
              <w:rPr>
                <w:noProof/>
              </w:rPr>
              <w:drawing>
                <wp:inline distT="0" distB="0" distL="0" distR="0" wp14:anchorId="580292AD" wp14:editId="75C1E91C">
                  <wp:extent cx="152400" cy="152400"/>
                  <wp:effectExtent l="0" t="0" r="0" b="0"/>
                  <wp:docPr id="2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 descr="c:\Program Files\Positron\resources\app\quarto\share\formats\docx\no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Adnotacja</w:t>
            </w:r>
          </w:p>
        </w:tc>
      </w:tr>
      <w:tr w:rsidR="00D328FD" w14:paraId="2E1450FD" w14:textId="77777777" w:rsidTr="00D328FD">
        <w:trPr>
          <w:cantSplit/>
        </w:trPr>
        <w:tc>
          <w:tcPr>
            <w:tcW w:w="0" w:type="auto"/>
            <w:tcMar>
              <w:top w:w="108" w:type="dxa"/>
              <w:bottom w:w="108" w:type="dxa"/>
            </w:tcMar>
          </w:tcPr>
          <w:p w14:paraId="52F22222" w14:textId="77777777" w:rsidR="00D328FD" w:rsidRDefault="00E33159">
            <w:pPr>
              <w:pStyle w:val="Tekstpodstawowy"/>
              <w:spacing w:before="16" w:after="16"/>
            </w:pPr>
            <w:r>
              <w:t>Więcej informacj</w:t>
            </w:r>
            <w:r>
              <w:t xml:space="preserve">i o pakiecie IEA IDB Analyzer można znaleźć </w:t>
            </w:r>
            <w:hyperlink r:id="rId6">
              <w:r>
                <w:rPr>
                  <w:rStyle w:val="Hipercze"/>
                </w:rPr>
                <w:t>w naszym tutorialu</w:t>
              </w:r>
            </w:hyperlink>
            <w:r>
              <w:t>.</w:t>
            </w:r>
          </w:p>
        </w:tc>
      </w:tr>
    </w:tbl>
    <w:p w14:paraId="5C73BD32" w14:textId="77777777" w:rsidR="00D328FD" w:rsidRDefault="00E33159">
      <w:pPr>
        <w:pStyle w:val="Nagwek2"/>
      </w:pPr>
      <w:bookmarkStart w:id="2" w:name="pobieranie-i-łączenie-danych"/>
      <w:bookmarkStart w:id="3" w:name="_Toc210303337"/>
      <w:bookmarkEnd w:id="0"/>
      <w:r>
        <w:lastRenderedPageBreak/>
        <w:t>2 Pobieranie i łączenie danych</w:t>
      </w:r>
      <w:bookmarkEnd w:id="3"/>
    </w:p>
    <w:tbl>
      <w:tblPr>
        <w:tblStyle w:val="Table"/>
        <w:tblW w:w="5000" w:type="pct"/>
        <w:tblInd w:w="164" w:type="dxa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694"/>
      </w:tblGrid>
      <w:tr w:rsidR="00D328FD" w14:paraId="03900D8A" w14:textId="77777777" w:rsidTr="00D328FD">
        <w:trPr>
          <w:cantSplit/>
        </w:trPr>
        <w:tc>
          <w:tcPr>
            <w:tcW w:w="0" w:type="auto"/>
            <w:shd w:val="clear" w:color="auto" w:fill="F7DDDC"/>
            <w:tcMar>
              <w:top w:w="92" w:type="dxa"/>
              <w:bottom w:w="92" w:type="dxa"/>
            </w:tcMar>
          </w:tcPr>
          <w:p w14:paraId="5F2E0559" w14:textId="77777777" w:rsidR="00D328FD" w:rsidRDefault="00E33159">
            <w:pPr>
              <w:pStyle w:val="FirstParagraph"/>
              <w:spacing w:before="0" w:after="0"/>
              <w:textAlignment w:val="center"/>
            </w:pPr>
            <w:r>
              <w:rPr>
                <w:noProof/>
              </w:rPr>
              <w:drawing>
                <wp:inline distT="0" distB="0" distL="0" distR="0" wp14:anchorId="2B18D773" wp14:editId="730E2F6A">
                  <wp:extent cx="152400" cy="152400"/>
                  <wp:effectExtent l="0" t="0" r="0" b="0"/>
                  <wp:docPr id="2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 descr="c:\Program Files\Positron\resources\app\quarto\share\formats\docx\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Pobieranie danych</w:t>
            </w:r>
          </w:p>
        </w:tc>
      </w:tr>
      <w:tr w:rsidR="00D328FD" w14:paraId="41F93461" w14:textId="77777777" w:rsidTr="00D328FD">
        <w:trPr>
          <w:cantSplit/>
        </w:trPr>
        <w:tc>
          <w:tcPr>
            <w:tcW w:w="0" w:type="auto"/>
            <w:tcMar>
              <w:top w:w="108" w:type="dxa"/>
              <w:bottom w:w="108" w:type="dxa"/>
            </w:tcMar>
          </w:tcPr>
          <w:p w14:paraId="48641151" w14:textId="77777777" w:rsidR="00D328FD" w:rsidRDefault="00E33159">
            <w:pPr>
              <w:pStyle w:val="Tekstpodstawowy"/>
              <w:spacing w:before="16" w:after="16"/>
            </w:pPr>
            <w:r>
              <w:t xml:space="preserve">Najpierw należy pobrać dane ze strony </w:t>
            </w:r>
            <w:hyperlink r:id="rId8">
              <w:r>
                <w:rPr>
                  <w:rStyle w:val="Hipercze"/>
                </w:rPr>
                <w:t>www.iea.nl/data-tools/repository/timss</w:t>
              </w:r>
            </w:hyperlink>
            <w:r>
              <w:t>.</w:t>
            </w:r>
            <w:r>
              <w:br/>
              <w:t>W zależności od oprogramowania, którego chcesz użyć do uruchomienia skryptów wygenerowanych przez IEA IDB Analyz</w:t>
            </w:r>
            <w:r>
              <w:t>er, należy pobrać dane w odpowiednim formacie (np. R lub SPSS).</w:t>
            </w:r>
            <w:r>
              <w:br/>
              <w:t>Ten poradnik wykorzystuje język R, więc pobierzemy dane w formacie R i zapiszemy je w wybranym katalogu.</w:t>
            </w:r>
          </w:p>
        </w:tc>
      </w:tr>
    </w:tbl>
    <w:p w14:paraId="105B52EB" w14:textId="77777777" w:rsidR="00D328FD" w:rsidRDefault="00E33159">
      <w:pPr>
        <w:pStyle w:val="Tekstpodstawowy"/>
      </w:pPr>
      <w:r>
        <w:t>Zmienne, na których się skupimy to:</w:t>
      </w:r>
    </w:p>
    <w:p w14:paraId="1A88C782" w14:textId="77777777" w:rsidR="00D328FD" w:rsidRDefault="00E33159">
      <w:pPr>
        <w:pStyle w:val="Compact"/>
        <w:numPr>
          <w:ilvl w:val="0"/>
          <w:numId w:val="14"/>
        </w:numPr>
      </w:pPr>
      <w:r>
        <w:rPr>
          <w:rStyle w:val="VerbatimChar"/>
        </w:rPr>
        <w:t>IDCNTRY</w:t>
      </w:r>
      <w:r>
        <w:t xml:space="preserve"> - Nazwa kraju</w:t>
      </w:r>
    </w:p>
    <w:p w14:paraId="0C5A7A4E" w14:textId="77777777" w:rsidR="00D328FD" w:rsidRDefault="00E33159">
      <w:pPr>
        <w:pStyle w:val="Compact"/>
        <w:numPr>
          <w:ilvl w:val="0"/>
          <w:numId w:val="14"/>
        </w:numPr>
      </w:pPr>
      <w:r>
        <w:rPr>
          <w:rStyle w:val="VerbatimChar"/>
        </w:rPr>
        <w:t>ITSEX</w:t>
      </w:r>
      <w:r>
        <w:t xml:space="preserve"> </w:t>
      </w:r>
      <w:r>
        <w:t>- płeć uczniów</w:t>
      </w:r>
    </w:p>
    <w:p w14:paraId="0612BF08" w14:textId="77777777" w:rsidR="00D328FD" w:rsidRDefault="00E33159">
      <w:pPr>
        <w:pStyle w:val="Compact"/>
        <w:numPr>
          <w:ilvl w:val="0"/>
          <w:numId w:val="14"/>
        </w:numPr>
      </w:pPr>
      <w:r>
        <w:rPr>
          <w:rStyle w:val="VerbatimChar"/>
        </w:rPr>
        <w:t>ASBHSES</w:t>
      </w:r>
      <w:r>
        <w:t xml:space="preserve"> - indeks statusu społeczno-ekonomicznego rodziny ucznia</w:t>
      </w:r>
    </w:p>
    <w:p w14:paraId="18374E54" w14:textId="77777777" w:rsidR="00D328FD" w:rsidRDefault="00E33159">
      <w:pPr>
        <w:pStyle w:val="Compact"/>
        <w:numPr>
          <w:ilvl w:val="0"/>
          <w:numId w:val="14"/>
        </w:numPr>
      </w:pPr>
      <w:r>
        <w:rPr>
          <w:rStyle w:val="VerbatimChar"/>
        </w:rPr>
        <w:t>ACGB05B</w:t>
      </w:r>
      <w:r>
        <w:t xml:space="preserve"> - wielkość wsi/miasta, w którym znajduje się szkoła</w:t>
      </w:r>
    </w:p>
    <w:p w14:paraId="1CC4BDBE" w14:textId="77777777" w:rsidR="00D328FD" w:rsidRDefault="00E33159">
      <w:pPr>
        <w:pStyle w:val="Compact"/>
        <w:numPr>
          <w:ilvl w:val="0"/>
          <w:numId w:val="14"/>
        </w:numPr>
      </w:pPr>
      <w:r>
        <w:rPr>
          <w:rStyle w:val="VerbatimChar"/>
        </w:rPr>
        <w:t>ASMREA01</w:t>
      </w:r>
      <w:r>
        <w:t xml:space="preserve"> - </w:t>
      </w:r>
      <w:r>
        <w:rPr>
          <w:rStyle w:val="VerbatimChar"/>
        </w:rPr>
        <w:t>ASMREA05</w:t>
      </w:r>
      <w:r>
        <w:t xml:space="preserve"> - wynik rozumowania matematycznego</w:t>
      </w:r>
    </w:p>
    <w:p w14:paraId="42AFD19A" w14:textId="77777777" w:rsidR="00D328FD" w:rsidRDefault="00E33159">
      <w:pPr>
        <w:pStyle w:val="Compact"/>
        <w:numPr>
          <w:ilvl w:val="0"/>
          <w:numId w:val="14"/>
        </w:numPr>
      </w:pPr>
      <w:r>
        <w:rPr>
          <w:rStyle w:val="VerbatimChar"/>
        </w:rPr>
        <w:t>ASSLIF01</w:t>
      </w:r>
      <w:r>
        <w:t xml:space="preserve"> - </w:t>
      </w:r>
      <w:r>
        <w:rPr>
          <w:rStyle w:val="VerbatimChar"/>
        </w:rPr>
        <w:t>ASSLIF05</w:t>
      </w:r>
      <w:r>
        <w:t xml:space="preserve"> - wynik z zakresu biologii</w:t>
      </w:r>
    </w:p>
    <w:p w14:paraId="6E08E7E5" w14:textId="77777777" w:rsidR="00D328FD" w:rsidRDefault="00E33159">
      <w:pPr>
        <w:pStyle w:val="FirstParagraph"/>
      </w:pPr>
      <w:r>
        <w:t xml:space="preserve">Użyjemy modułu </w:t>
      </w:r>
      <w:r>
        <w:t>łączenia danych (merge module) IEA IDB Analyzer, aby utworzyć zestaw danych ze zmiennymi wymienionymi powyżej.</w:t>
      </w:r>
      <w:r>
        <w:br/>
        <w:t>Najpierw wybierzemy kraje będące przedmiotem zainteresowania (Polska, Niemcy, Gruzja i Nowa Zelandia).</w:t>
      </w:r>
      <w:r>
        <w:br/>
      </w:r>
    </w:p>
    <w:p w14:paraId="66B52C0F" w14:textId="77777777" w:rsidR="00D328FD" w:rsidRDefault="00E33159">
      <w:pPr>
        <w:pStyle w:val="Tekstpodstawowy"/>
      </w:pPr>
      <w:r>
        <w:rPr>
          <w:noProof/>
        </w:rPr>
        <w:drawing>
          <wp:inline distT="0" distB="0" distL="0" distR="0" wp14:anchorId="023DF125" wp14:editId="1D58C0D5">
            <wp:extent cx="5969000" cy="2857199"/>
            <wp:effectExtent l="0" t="0" r="0" b="0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.\img/Mergin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8571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681CA1" w14:textId="77777777" w:rsidR="00D328FD" w:rsidRDefault="00E33159">
      <w:pPr>
        <w:pStyle w:val="Tekstpodstawowy"/>
      </w:pPr>
      <w:r>
        <w:t>Następnie wybierzemy bazy danych i zmie</w:t>
      </w:r>
      <w:r>
        <w:t>nne będące przedmiotem zainteresowania.</w:t>
      </w:r>
      <w:r>
        <w:br/>
        <w:t>Musimy wybrać następujące bazy danych: School Context, Student Achievement oraz Student Home.</w:t>
      </w:r>
      <w:r>
        <w:br/>
        <w:t xml:space="preserve">Z bazy danych School Context wybierzemy zmienną </w:t>
      </w:r>
      <w:r>
        <w:rPr>
          <w:rStyle w:val="VerbatimChar"/>
        </w:rPr>
        <w:t>ACGB05B</w:t>
      </w:r>
      <w:r>
        <w:t xml:space="preserve"> (wielkość miejscowości, w której znajduje się szkoła).</w:t>
      </w:r>
      <w:r>
        <w:br/>
      </w:r>
    </w:p>
    <w:p w14:paraId="681F3CE1" w14:textId="77777777" w:rsidR="00D328FD" w:rsidRDefault="00E33159">
      <w:pPr>
        <w:pStyle w:val="Tekstpodstawowy"/>
      </w:pPr>
      <w:r>
        <w:rPr>
          <w:noProof/>
        </w:rPr>
        <w:lastRenderedPageBreak/>
        <w:drawing>
          <wp:inline distT="0" distB="0" distL="0" distR="0" wp14:anchorId="70EA5B2F" wp14:editId="69B90691">
            <wp:extent cx="5969000" cy="4032983"/>
            <wp:effectExtent l="0" t="0" r="0" b="0"/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.\img/select_var_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0329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6F6F43" w14:textId="77777777" w:rsidR="00D328FD" w:rsidRDefault="00E33159">
      <w:pPr>
        <w:pStyle w:val="Tekstpodstawowy"/>
      </w:pPr>
      <w:r>
        <w:t xml:space="preserve">Z zestawu danych Student Home wybierzemy zmienną </w:t>
      </w:r>
      <w:r>
        <w:rPr>
          <w:rStyle w:val="VerbatimChar"/>
        </w:rPr>
        <w:t>ASBHSES</w:t>
      </w:r>
      <w:r>
        <w:t xml:space="preserve"> (status społeczno-ekonomiczny domu).</w:t>
      </w:r>
      <w:r>
        <w:br/>
      </w:r>
    </w:p>
    <w:p w14:paraId="7B0C29EA" w14:textId="77777777" w:rsidR="00D328FD" w:rsidRDefault="00E33159">
      <w:pPr>
        <w:pStyle w:val="Tekstpodstawowy"/>
      </w:pPr>
      <w:r>
        <w:rPr>
          <w:noProof/>
        </w:rPr>
        <w:lastRenderedPageBreak/>
        <w:drawing>
          <wp:inline distT="0" distB="0" distL="0" distR="0" wp14:anchorId="7A3DE979" wp14:editId="3432D060">
            <wp:extent cx="5969000" cy="3977786"/>
            <wp:effectExtent l="0" t="0" r="0" b="0"/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.\img/select_var_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977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0E847" w14:textId="77777777" w:rsidR="00D328FD" w:rsidRDefault="00E33159">
      <w:pPr>
        <w:pStyle w:val="Tekstpodstawowy"/>
      </w:pPr>
      <w:r>
        <w:t>Następnie musimy zapisać skrypt R i uruchomić go w RStudio lub innym środowisku dla R.</w:t>
      </w:r>
      <w:r>
        <w:br/>
      </w:r>
    </w:p>
    <w:p w14:paraId="49CB9F6B" w14:textId="77777777" w:rsidR="00D328FD" w:rsidRDefault="00E33159">
      <w:pPr>
        <w:pStyle w:val="Nagwek2"/>
      </w:pPr>
      <w:bookmarkStart w:id="4" w:name="statystyki-opisowe"/>
      <w:bookmarkStart w:id="5" w:name="_Toc210303338"/>
      <w:bookmarkEnd w:id="2"/>
      <w:r>
        <w:t>3 Statystyki opisowe</w:t>
      </w:r>
      <w:bookmarkEnd w:id="5"/>
    </w:p>
    <w:p w14:paraId="23AFAB7B" w14:textId="77777777" w:rsidR="00D328FD" w:rsidRDefault="00E33159">
      <w:pPr>
        <w:pStyle w:val="FirstParagraph"/>
      </w:pPr>
      <w:r>
        <w:t xml:space="preserve">Po uruchomieniu skryptu możemy wrócić do głównego </w:t>
      </w:r>
      <w:r>
        <w:t>menu IEA IDB Analyzer i wybrać moduł analizy (analysis module).</w:t>
      </w:r>
      <w:r>
        <w:br/>
      </w:r>
    </w:p>
    <w:p w14:paraId="25525ED5" w14:textId="77777777" w:rsidR="00D328FD" w:rsidRDefault="00E33159">
      <w:pPr>
        <w:pStyle w:val="Tekstpodstawowy"/>
      </w:pPr>
      <w:r>
        <w:t xml:space="preserve">Następnie należy wybrać zestaw danych utworzony w poprzednim kroku, wybrać </w:t>
      </w:r>
      <w:r>
        <w:rPr>
          <w:rStyle w:val="VerbatimChar"/>
        </w:rPr>
        <w:t>TIMSS (Using Student Weights)</w:t>
      </w:r>
      <w:r>
        <w:t xml:space="preserve"> jako typ analizy i </w:t>
      </w:r>
      <w:r>
        <w:rPr>
          <w:rStyle w:val="VerbatimChar"/>
        </w:rPr>
        <w:t>Percentages and Means</w:t>
      </w:r>
      <w:r>
        <w:t xml:space="preserve"> jako typ statystyki. Pozostałe opcje należy p</w:t>
      </w:r>
      <w:r>
        <w:t>ozostawić domyślne.</w:t>
      </w:r>
      <w:r>
        <w:br/>
      </w:r>
    </w:p>
    <w:p w14:paraId="640CE05A" w14:textId="77777777" w:rsidR="00D328FD" w:rsidRDefault="00E33159">
      <w:pPr>
        <w:pStyle w:val="Tekstpodstawowy"/>
      </w:pPr>
      <w:r>
        <w:rPr>
          <w:noProof/>
        </w:rPr>
        <w:drawing>
          <wp:inline distT="0" distB="0" distL="0" distR="0" wp14:anchorId="1C70D1D0" wp14:editId="2F2DD15C">
            <wp:extent cx="5969000" cy="896653"/>
            <wp:effectExtent l="0" t="0" r="0" b="0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.\img/desc_def_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966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07C7C4" w14:textId="77777777" w:rsidR="00D328FD" w:rsidRDefault="00E33159">
      <w:pPr>
        <w:pStyle w:val="Tekstpodstawowy"/>
      </w:pPr>
      <w:r>
        <w:t>Chcemy rozdzielić tabele według płci i użyć wartości prawdopodobnych wyników rozumowania matematycznego i wyników z zakresu biologii. Wagi replikacyjne są dodawane automatycznie.</w:t>
      </w:r>
      <w:r>
        <w:br/>
      </w:r>
    </w:p>
    <w:p w14:paraId="0E8799B3" w14:textId="77777777" w:rsidR="00D328FD" w:rsidRDefault="00E33159">
      <w:pPr>
        <w:pStyle w:val="Tekstpodstawowy"/>
      </w:pPr>
      <w:r>
        <w:rPr>
          <w:noProof/>
        </w:rPr>
        <w:lastRenderedPageBreak/>
        <w:drawing>
          <wp:inline distT="0" distB="0" distL="0" distR="0" wp14:anchorId="0BC58420" wp14:editId="336A80F7">
            <wp:extent cx="5969000" cy="3447442"/>
            <wp:effectExtent l="0" t="0" r="0" b="0"/>
            <wp:docPr id="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.\img/desc_def_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447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0264C" w14:textId="77777777" w:rsidR="00D328FD" w:rsidRDefault="00E33159">
      <w:pPr>
        <w:pStyle w:val="Tekstpodstawowy"/>
      </w:pPr>
      <w:r>
        <w:t xml:space="preserve">Następnie należy zapisać skrypt R i uruchomić go. Ponieważ chcieliśmy przeprowadzić analizę dla dwóch zmiennych, otrzymamy dwa raporty. Raporty w formacie </w:t>
      </w:r>
      <w:r>
        <w:rPr>
          <w:rStyle w:val="VerbatimChar"/>
        </w:rPr>
        <w:t>.html</w:t>
      </w:r>
      <w:r>
        <w:t xml:space="preserve"> powinny otworzyć się automatycznie, gdy R zakończy wykonywanie skryptu.</w:t>
      </w:r>
      <w:r>
        <w:br/>
      </w:r>
    </w:p>
    <w:p w14:paraId="0369E2EB" w14:textId="77777777" w:rsidR="00D328FD" w:rsidRDefault="00E33159">
      <w:pPr>
        <w:pStyle w:val="Tekstpodstawowy"/>
      </w:pPr>
      <w:r>
        <w:t xml:space="preserve">W pliku </w:t>
      </w:r>
      <w:r>
        <w:rPr>
          <w:rStyle w:val="VerbatimChar"/>
        </w:rPr>
        <w:t>.html</w:t>
      </w:r>
      <w:r>
        <w:t xml:space="preserve"> należy p</w:t>
      </w:r>
      <w:r>
        <w:t xml:space="preserve">rzewinąć do sekcji </w:t>
      </w:r>
      <w:r>
        <w:rPr>
          <w:rStyle w:val="VerbatimChar"/>
        </w:rPr>
        <w:t>Report</w:t>
      </w:r>
      <w:r>
        <w:t>, aby zobaczyć wyniki. Najpierw przyjrzyjmy się wynikom dla rozumowania matematycznego.</w:t>
      </w:r>
      <w:r>
        <w:br/>
      </w:r>
    </w:p>
    <w:p w14:paraId="1032F26C" w14:textId="77777777" w:rsidR="00D328FD" w:rsidRDefault="00E33159">
      <w:pPr>
        <w:pStyle w:val="Tekstpodstawowy"/>
      </w:pPr>
      <w:r>
        <w:rPr>
          <w:noProof/>
        </w:rPr>
        <w:lastRenderedPageBreak/>
        <w:drawing>
          <wp:inline distT="0" distB="0" distL="0" distR="0" wp14:anchorId="17E24632" wp14:editId="5EABA40F">
            <wp:extent cx="5969000" cy="3359034"/>
            <wp:effectExtent l="0" t="0" r="0" b="0"/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.\img/desc_reason_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3590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AC151" w14:textId="77777777" w:rsidR="00D328FD" w:rsidRDefault="00E33159">
      <w:pPr>
        <w:pStyle w:val="Tekstpodstawowy"/>
      </w:pPr>
      <w:r>
        <w:rPr>
          <w:noProof/>
        </w:rPr>
        <w:drawing>
          <wp:inline distT="0" distB="0" distL="0" distR="0" wp14:anchorId="79C1C09E" wp14:editId="19076031">
            <wp:extent cx="5969000" cy="4199122"/>
            <wp:effectExtent l="0" t="0" r="0" b="0"/>
            <wp:docPr id="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.\img/desc_reason_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199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6EB79" w14:textId="77777777" w:rsidR="00D328FD" w:rsidRDefault="00E33159">
      <w:pPr>
        <w:pStyle w:val="Tekstpodstawowy"/>
      </w:pPr>
      <w:r>
        <w:t>Następnie obejrzymy wyniki dla umiejętności z zakresu biologii.</w:t>
      </w:r>
      <w:r>
        <w:br/>
      </w:r>
    </w:p>
    <w:p w14:paraId="33245524" w14:textId="77777777" w:rsidR="00D328FD" w:rsidRDefault="00E33159">
      <w:pPr>
        <w:pStyle w:val="Tekstpodstawowy"/>
      </w:pPr>
      <w:r>
        <w:rPr>
          <w:noProof/>
        </w:rPr>
        <w:lastRenderedPageBreak/>
        <w:drawing>
          <wp:inline distT="0" distB="0" distL="0" distR="0" wp14:anchorId="4B01F5C4" wp14:editId="253E425C">
            <wp:extent cx="5969000" cy="3790982"/>
            <wp:effectExtent l="0" t="0" r="0" b="0"/>
            <wp:docPr id="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.\img/desc_life_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7909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30F8C" w14:textId="77777777" w:rsidR="00D328FD" w:rsidRDefault="00E33159">
      <w:pPr>
        <w:pStyle w:val="Tekstpodstawowy"/>
      </w:pPr>
      <w:r>
        <w:rPr>
          <w:noProof/>
        </w:rPr>
        <w:drawing>
          <wp:inline distT="0" distB="0" distL="0" distR="0" wp14:anchorId="60849B50" wp14:editId="5A47285F">
            <wp:extent cx="5969000" cy="4225477"/>
            <wp:effectExtent l="0" t="0" r="0" b="0"/>
            <wp:docPr id="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.\img/desc_life_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25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5000" w:type="pct"/>
        <w:tblInd w:w="164" w:type="dxa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694"/>
      </w:tblGrid>
      <w:tr w:rsidR="00D328FD" w14:paraId="69F4BA46" w14:textId="77777777" w:rsidTr="00D328FD">
        <w:trPr>
          <w:cantSplit/>
        </w:trPr>
        <w:tc>
          <w:tcPr>
            <w:tcW w:w="0" w:type="auto"/>
            <w:shd w:val="clear" w:color="auto" w:fill="DAE6FB"/>
            <w:tcMar>
              <w:top w:w="92" w:type="dxa"/>
              <w:bottom w:w="92" w:type="dxa"/>
            </w:tcMar>
          </w:tcPr>
          <w:p w14:paraId="08D8384E" w14:textId="77777777" w:rsidR="00D328FD" w:rsidRDefault="00E33159">
            <w:pPr>
              <w:pStyle w:val="Tekstpodstawowy"/>
              <w:spacing w:before="16" w:after="16"/>
            </w:pPr>
            <w:r>
              <w:lastRenderedPageBreak/>
              <w:t>Interpretacja</w:t>
            </w:r>
          </w:p>
        </w:tc>
      </w:tr>
      <w:tr w:rsidR="00D328FD" w14:paraId="11311865" w14:textId="77777777" w:rsidTr="00D328FD">
        <w:trPr>
          <w:cantSplit/>
        </w:trPr>
        <w:tc>
          <w:tcPr>
            <w:tcW w:w="0" w:type="auto"/>
            <w:tcMar>
              <w:top w:w="108" w:type="dxa"/>
              <w:bottom w:w="108" w:type="dxa"/>
            </w:tcMar>
          </w:tcPr>
          <w:p w14:paraId="6C9AFEE2" w14:textId="77777777" w:rsidR="00D328FD" w:rsidRDefault="00E33159">
            <w:pPr>
              <w:pStyle w:val="Tekstpodstawowy"/>
              <w:spacing w:before="16" w:after="16"/>
            </w:pPr>
            <w:r>
              <w:t>Wyniki pokazują, że we wszystkich czterech krajach chł</w:t>
            </w:r>
            <w:r>
              <w:t>opcy uzyskali wyższe wyniki niż dziewczęta w zakresie rozumowowania matematycznego, podczas gdy odwrotny wzorzec można zaobserwować dla wyników z zakresu biologii.</w:t>
            </w:r>
            <w:r>
              <w:br/>
              <w:t>W obu testowanych zmiennych Polska uzyskała najwyższe wyniki. W rozumowaniu matematycznym ró</w:t>
            </w:r>
            <w:r>
              <w:t>żnica między Niemcami a Nową Zelandią jest niewielka, podczas gdy Gruzja uzyskała najniższe wyniki.</w:t>
            </w:r>
            <w:r>
              <w:br/>
              <w:t>W przypadku biologii Nowa Zelandia uzyskała niższe wyniki niż Niemcy, na poziomie podobnym do wyników uczniów z Gruzji.</w:t>
            </w:r>
          </w:p>
        </w:tc>
      </w:tr>
    </w:tbl>
    <w:p w14:paraId="23818A93" w14:textId="77777777" w:rsidR="00D328FD" w:rsidRDefault="00E33159">
      <w:pPr>
        <w:pStyle w:val="Nagwek2"/>
      </w:pPr>
      <w:bookmarkStart w:id="6" w:name="Xbf4496ed2e69e2b8e0bdc374ed5ac534e4df2fc"/>
      <w:bookmarkStart w:id="7" w:name="_Toc210303339"/>
      <w:bookmarkEnd w:id="4"/>
      <w:r>
        <w:t>4 Wielkość miejscowości szkoły a wyniki rozumowania matematycznego</w:t>
      </w:r>
      <w:bookmarkEnd w:id="7"/>
    </w:p>
    <w:p w14:paraId="3BADDF80" w14:textId="77777777" w:rsidR="00D328FD" w:rsidRDefault="00E33159">
      <w:pPr>
        <w:pStyle w:val="FirstParagraph"/>
      </w:pPr>
      <w:r>
        <w:t xml:space="preserve">Teraz wrócimy do modułu analizy (analysis module) IEA IDB Analyzer i wybierzemy </w:t>
      </w:r>
      <w:r>
        <w:rPr>
          <w:rStyle w:val="VerbatimChar"/>
        </w:rPr>
        <w:t>TIMSS (Using Student Weights)</w:t>
      </w:r>
      <w:r>
        <w:t xml:space="preserve"> jako typ analizy i </w:t>
      </w:r>
      <w:r>
        <w:rPr>
          <w:rStyle w:val="VerbatimChar"/>
        </w:rPr>
        <w:t>Linear Regression</w:t>
      </w:r>
      <w:r>
        <w:t xml:space="preserve"> jako typ statystyki.</w:t>
      </w:r>
      <w:r>
        <w:br/>
      </w:r>
    </w:p>
    <w:p w14:paraId="186410E3" w14:textId="77777777" w:rsidR="00D328FD" w:rsidRDefault="00E33159">
      <w:pPr>
        <w:pStyle w:val="Tekstpodstawowy"/>
      </w:pPr>
      <w:r>
        <w:t xml:space="preserve">Wybierzemy wartości </w:t>
      </w:r>
      <w:r>
        <w:t>prawdopodobne rozumowania matematycznego jako zmienną zależną i wielkość miejscowości szkoły (</w:t>
      </w:r>
      <w:r>
        <w:rPr>
          <w:rStyle w:val="VerbatimChar"/>
        </w:rPr>
        <w:t>ACGB05B</w:t>
      </w:r>
      <w:r>
        <w:t>) jako zmienną niezależną.</w:t>
      </w:r>
      <w:r>
        <w:br/>
      </w:r>
    </w:p>
    <w:p w14:paraId="51E890B5" w14:textId="77777777" w:rsidR="00D328FD" w:rsidRDefault="00E33159">
      <w:pPr>
        <w:pStyle w:val="Tekstpodstawowy"/>
      </w:pPr>
      <w:r>
        <w:t>Jest to zmienna kategoryczna z 5 poziomami:</w:t>
      </w:r>
    </w:p>
    <w:p w14:paraId="62044B17" w14:textId="77777777" w:rsidR="00D328FD" w:rsidRDefault="00E33159">
      <w:pPr>
        <w:pStyle w:val="Compact"/>
        <w:numPr>
          <w:ilvl w:val="0"/>
          <w:numId w:val="15"/>
        </w:numPr>
      </w:pPr>
      <w:r>
        <w:rPr>
          <w:rStyle w:val="VerbatimChar"/>
        </w:rPr>
        <w:t>1</w:t>
      </w:r>
      <w:r>
        <w:t xml:space="preserve"> - Miejski – gęsto zaludniony</w:t>
      </w:r>
    </w:p>
    <w:p w14:paraId="59C19B4E" w14:textId="77777777" w:rsidR="00D328FD" w:rsidRDefault="00E33159">
      <w:pPr>
        <w:pStyle w:val="Compact"/>
        <w:numPr>
          <w:ilvl w:val="0"/>
          <w:numId w:val="15"/>
        </w:numPr>
      </w:pPr>
      <w:r>
        <w:rPr>
          <w:rStyle w:val="VerbatimChar"/>
        </w:rPr>
        <w:t>2</w:t>
      </w:r>
      <w:r>
        <w:t xml:space="preserve"> - Podmiejski – na obrzeżach lub peryferiach obszar</w:t>
      </w:r>
      <w:r>
        <w:t>u miejskiego</w:t>
      </w:r>
    </w:p>
    <w:p w14:paraId="736FD307" w14:textId="77777777" w:rsidR="00D328FD" w:rsidRDefault="00E33159">
      <w:pPr>
        <w:pStyle w:val="Compact"/>
        <w:numPr>
          <w:ilvl w:val="0"/>
          <w:numId w:val="15"/>
        </w:numPr>
      </w:pPr>
      <w:r>
        <w:rPr>
          <w:rStyle w:val="VerbatimChar"/>
        </w:rPr>
        <w:t>3</w:t>
      </w:r>
      <w:r>
        <w:t xml:space="preserve"> - Średniej wielkości miasto lub duże miasteczko</w:t>
      </w:r>
    </w:p>
    <w:p w14:paraId="23FFAFA0" w14:textId="77777777" w:rsidR="00D328FD" w:rsidRDefault="00E33159">
      <w:pPr>
        <w:pStyle w:val="Compact"/>
        <w:numPr>
          <w:ilvl w:val="0"/>
          <w:numId w:val="15"/>
        </w:numPr>
      </w:pPr>
      <w:r>
        <w:rPr>
          <w:rStyle w:val="VerbatimChar"/>
        </w:rPr>
        <w:t>4</w:t>
      </w:r>
      <w:r>
        <w:t xml:space="preserve"> - Małe miasteczko lub wieś</w:t>
      </w:r>
    </w:p>
    <w:p w14:paraId="23015F2C" w14:textId="77777777" w:rsidR="00D328FD" w:rsidRDefault="00E33159">
      <w:pPr>
        <w:pStyle w:val="Compact"/>
        <w:numPr>
          <w:ilvl w:val="0"/>
          <w:numId w:val="15"/>
        </w:numPr>
      </w:pPr>
      <w:r>
        <w:rPr>
          <w:rStyle w:val="VerbatimChar"/>
        </w:rPr>
        <w:t>5</w:t>
      </w:r>
      <w:r>
        <w:t xml:space="preserve"> - Odległy obszar wiejski</w:t>
      </w:r>
    </w:p>
    <w:p w14:paraId="06ACF0DB" w14:textId="77777777" w:rsidR="00D328FD" w:rsidRDefault="00E33159">
      <w:pPr>
        <w:pStyle w:val="FirstParagraph"/>
      </w:pPr>
      <w:r>
        <w:t xml:space="preserve">Musimy zmienić liczbę kategorii na 5 i wybrać </w:t>
      </w:r>
      <w:r>
        <w:rPr>
          <w:rStyle w:val="VerbatimChar"/>
        </w:rPr>
        <w:t>5</w:t>
      </w:r>
      <w:r>
        <w:t xml:space="preserve"> jako kategorię referencyjną.</w:t>
      </w:r>
      <w:r>
        <w:br/>
      </w:r>
    </w:p>
    <w:p w14:paraId="33A0BB2E" w14:textId="77777777" w:rsidR="00D328FD" w:rsidRDefault="00E33159">
      <w:pPr>
        <w:pStyle w:val="Tekstpodstawowy"/>
      </w:pPr>
      <w:r>
        <w:rPr>
          <w:noProof/>
        </w:rPr>
        <w:lastRenderedPageBreak/>
        <w:drawing>
          <wp:inline distT="0" distB="0" distL="0" distR="0" wp14:anchorId="76E4BC52" wp14:editId="401980A3">
            <wp:extent cx="5969000" cy="3906362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img/reg_def_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9063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9A156" w14:textId="77777777" w:rsidR="00D328FD" w:rsidRDefault="00E33159">
      <w:pPr>
        <w:pStyle w:val="Tekstpodstawowy"/>
      </w:pPr>
      <w:r>
        <w:t>Podobnie jak poprzednio, zapiszemy skrypt R, uruchomimy g</w:t>
      </w:r>
      <w:r>
        <w:t xml:space="preserve">o i przeanalizujemy wyniki w sekcji </w:t>
      </w:r>
      <w:r>
        <w:rPr>
          <w:rStyle w:val="VerbatimChar"/>
        </w:rPr>
        <w:t>Report</w:t>
      </w:r>
      <w:r>
        <w:t xml:space="preserve"> pliku </w:t>
      </w:r>
      <w:r>
        <w:rPr>
          <w:rStyle w:val="VerbatimChar"/>
        </w:rPr>
        <w:t>.html</w:t>
      </w:r>
      <w:r>
        <w:t>.</w:t>
      </w:r>
      <w:r>
        <w:br/>
      </w:r>
    </w:p>
    <w:tbl>
      <w:tblPr>
        <w:tblStyle w:val="Table"/>
        <w:tblW w:w="5000" w:type="pct"/>
        <w:tblInd w:w="164" w:type="dxa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694"/>
      </w:tblGrid>
      <w:tr w:rsidR="00D328FD" w14:paraId="169C7D68" w14:textId="77777777" w:rsidTr="00D328FD">
        <w:trPr>
          <w:cantSplit/>
        </w:trPr>
        <w:tc>
          <w:tcPr>
            <w:tcW w:w="0" w:type="auto"/>
            <w:shd w:val="clear" w:color="auto" w:fill="F7DDDC"/>
            <w:tcMar>
              <w:top w:w="92" w:type="dxa"/>
              <w:bottom w:w="92" w:type="dxa"/>
            </w:tcMar>
          </w:tcPr>
          <w:p w14:paraId="15EF40FA" w14:textId="77777777" w:rsidR="00D328FD" w:rsidRDefault="00E33159">
            <w:pPr>
              <w:pStyle w:val="Tekstpodstawowy"/>
              <w:spacing w:before="0" w:after="0"/>
              <w:textAlignment w:val="center"/>
            </w:pPr>
            <w:r>
              <w:rPr>
                <w:noProof/>
              </w:rPr>
              <w:drawing>
                <wp:inline distT="0" distB="0" distL="0" distR="0" wp14:anchorId="2D68C7F4" wp14:editId="27CBB435">
                  <wp:extent cx="152400" cy="152400"/>
                  <wp:effectExtent l="0" t="0" r="0" b="0"/>
                  <wp:docPr id="6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c:\Program Files\Positron\resources\app\quarto\share\formats\docx\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Testowanie istotności</w:t>
            </w:r>
          </w:p>
        </w:tc>
      </w:tr>
      <w:tr w:rsidR="00D328FD" w14:paraId="33F598AA" w14:textId="77777777" w:rsidTr="00D328FD">
        <w:trPr>
          <w:cantSplit/>
        </w:trPr>
        <w:tc>
          <w:tcPr>
            <w:tcW w:w="0" w:type="auto"/>
            <w:tcMar>
              <w:top w:w="108" w:type="dxa"/>
              <w:bottom w:w="108" w:type="dxa"/>
            </w:tcMar>
          </w:tcPr>
          <w:p w14:paraId="0C83B64E" w14:textId="77777777" w:rsidR="00D328FD" w:rsidRDefault="00E33159">
            <w:pPr>
              <w:pStyle w:val="Tekstpodstawowy"/>
              <w:spacing w:before="16" w:after="16"/>
            </w:pPr>
            <w:r>
              <w:t>Aby określić, czy predyktor jest istotny, powinniśmy przyjrzeć się wartości t w tabelach regresji.</w:t>
            </w:r>
            <w:r>
              <w:br/>
              <w:t>Wartości t większe niż 1,96 (w wartości bezwzględnej) wskazują, że predyktor jest statystycznie istotny na poziomie istotności 0,05.</w:t>
            </w:r>
          </w:p>
        </w:tc>
      </w:tr>
    </w:tbl>
    <w:p w14:paraId="6FEE92CA" w14:textId="3A3BCDFD" w:rsidR="00E33159" w:rsidRDefault="00E33159">
      <w:pPr>
        <w:pStyle w:val="Tekstpodstawowy"/>
      </w:pPr>
      <w:r>
        <w:rPr>
          <w:noProof/>
        </w:rPr>
        <w:lastRenderedPageBreak/>
        <w:drawing>
          <wp:inline distT="0" distB="0" distL="0" distR="0" wp14:anchorId="4CCD238E" wp14:editId="74D9D14E">
            <wp:extent cx="5969000" cy="7624438"/>
            <wp:effectExtent l="0" t="0" r="0" b="0"/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img/reg_results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6244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A2539" w14:textId="77777777" w:rsidR="00E33159" w:rsidRDefault="00E33159">
      <w:pPr>
        <w:rPr>
          <w:sz w:val="22"/>
        </w:rPr>
      </w:pPr>
      <w:r>
        <w:br w:type="page"/>
      </w:r>
    </w:p>
    <w:p w14:paraId="7C5A9610" w14:textId="77777777" w:rsidR="00D328FD" w:rsidRDefault="00D328FD">
      <w:pPr>
        <w:pStyle w:val="Tekstpodstawowy"/>
      </w:pPr>
    </w:p>
    <w:tbl>
      <w:tblPr>
        <w:tblStyle w:val="Table"/>
        <w:tblW w:w="5000" w:type="pct"/>
        <w:tblInd w:w="164" w:type="dxa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694"/>
      </w:tblGrid>
      <w:tr w:rsidR="00D328FD" w14:paraId="53BED2A8" w14:textId="77777777" w:rsidTr="00D328FD">
        <w:trPr>
          <w:cantSplit/>
        </w:trPr>
        <w:tc>
          <w:tcPr>
            <w:tcW w:w="0" w:type="auto"/>
            <w:shd w:val="clear" w:color="auto" w:fill="DAE6FB"/>
            <w:tcMar>
              <w:top w:w="92" w:type="dxa"/>
              <w:bottom w:w="92" w:type="dxa"/>
            </w:tcMar>
          </w:tcPr>
          <w:p w14:paraId="2E8231D7" w14:textId="77777777" w:rsidR="00D328FD" w:rsidRDefault="00E33159">
            <w:pPr>
              <w:pStyle w:val="Tekstpodstawowy"/>
              <w:spacing w:before="16" w:after="16"/>
            </w:pPr>
            <w:r>
              <w:t>Interpretacja</w:t>
            </w:r>
          </w:p>
        </w:tc>
      </w:tr>
      <w:tr w:rsidR="00D328FD" w14:paraId="6CBC6CCF" w14:textId="77777777" w:rsidTr="00D328FD">
        <w:trPr>
          <w:cantSplit/>
        </w:trPr>
        <w:tc>
          <w:tcPr>
            <w:tcW w:w="0" w:type="auto"/>
            <w:tcMar>
              <w:top w:w="108" w:type="dxa"/>
              <w:bottom w:w="108" w:type="dxa"/>
            </w:tcMar>
          </w:tcPr>
          <w:p w14:paraId="5AA450CB" w14:textId="77777777" w:rsidR="00D328FD" w:rsidRDefault="00E33159">
            <w:pPr>
              <w:pStyle w:val="Tekstpodstawowy"/>
              <w:spacing w:before="16" w:after="16"/>
            </w:pPr>
            <w:r>
              <w:t>Co ciekawe, wielkość miejscowości szkoły nie jest istotnym predyktorem rozumowania matematycznego w Nowej Zelandii i Gruzji.</w:t>
            </w:r>
            <w:r>
              <w:br/>
              <w:t>W Niemczech uczniowie ze średniej wielkości miast i dużych miasteczek uzyskali znacząco niższe wyniki niż uczniowie z odległych obs</w:t>
            </w:r>
            <w:r>
              <w:t>zarów wiejskich.</w:t>
            </w:r>
            <w:r>
              <w:br/>
              <w:t>Natomiast w Polsce uczniowie z obszarów miejskich (kategorie od 1 do 3) uzyskali znacząco wyższe wyniki niż uczniowie z odległych obszarów wiejskich.</w:t>
            </w:r>
          </w:p>
        </w:tc>
      </w:tr>
    </w:tbl>
    <w:p w14:paraId="13A74513" w14:textId="77777777" w:rsidR="00D328FD" w:rsidRDefault="00E33159">
      <w:pPr>
        <w:pStyle w:val="Nagwek2"/>
      </w:pPr>
      <w:bookmarkStart w:id="8" w:name="X5eaa4155ac333540b640f0da2897e6ed81aa327"/>
      <w:bookmarkStart w:id="9" w:name="_Toc210303340"/>
      <w:bookmarkEnd w:id="6"/>
      <w:r>
        <w:t>5 Status społeczno-ekonomiczny a wyniki z zakresu biologii</w:t>
      </w:r>
      <w:bookmarkEnd w:id="9"/>
    </w:p>
    <w:p w14:paraId="1311B7C2" w14:textId="77777777" w:rsidR="00D328FD" w:rsidRDefault="00E33159">
      <w:pPr>
        <w:pStyle w:val="FirstParagraph"/>
      </w:pPr>
      <w:r>
        <w:t>Na koniec zbadamy związek mię</w:t>
      </w:r>
      <w:r>
        <w:t>dzy statusem społeczno-ekonomicznym (SES) a wynikami w zakresie biologii.</w:t>
      </w:r>
      <w:r>
        <w:br/>
        <w:t>Definicja analizy jest podobna do poprzedniej. SES powinien być dodany do analizy jako predyktor ciągły.</w:t>
      </w:r>
      <w:r>
        <w:br/>
      </w:r>
    </w:p>
    <w:tbl>
      <w:tblPr>
        <w:tblStyle w:val="Table"/>
        <w:tblW w:w="5000" w:type="pct"/>
        <w:tblInd w:w="164" w:type="dxa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694"/>
      </w:tblGrid>
      <w:tr w:rsidR="00D328FD" w14:paraId="410A548C" w14:textId="77777777" w:rsidTr="00D328FD">
        <w:trPr>
          <w:cantSplit/>
        </w:trPr>
        <w:tc>
          <w:tcPr>
            <w:tcW w:w="0" w:type="auto"/>
            <w:shd w:val="clear" w:color="auto" w:fill="F7DDDC"/>
            <w:tcMar>
              <w:top w:w="92" w:type="dxa"/>
              <w:bottom w:w="92" w:type="dxa"/>
            </w:tcMar>
          </w:tcPr>
          <w:p w14:paraId="29C33664" w14:textId="77777777" w:rsidR="00D328FD" w:rsidRDefault="00E33159">
            <w:pPr>
              <w:pStyle w:val="Tekstpodstawowy"/>
              <w:spacing w:before="0" w:after="0"/>
              <w:textAlignment w:val="center"/>
            </w:pPr>
            <w:r>
              <w:rPr>
                <w:noProof/>
              </w:rPr>
              <w:drawing>
                <wp:inline distT="0" distB="0" distL="0" distR="0" wp14:anchorId="633F8B8E" wp14:editId="17D9A7EC">
                  <wp:extent cx="152400" cy="152400"/>
                  <wp:effectExtent l="0" t="0" r="0" b="0"/>
                  <wp:docPr id="6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c:\Program Files\Positron\resources\app\quarto\share\formats\docx\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Zmienne SES w TIMSS</w:t>
            </w:r>
          </w:p>
        </w:tc>
      </w:tr>
      <w:tr w:rsidR="00D328FD" w14:paraId="59CFF3C6" w14:textId="77777777" w:rsidTr="00D328FD">
        <w:trPr>
          <w:cantSplit/>
        </w:trPr>
        <w:tc>
          <w:tcPr>
            <w:tcW w:w="0" w:type="auto"/>
            <w:tcMar>
              <w:top w:w="108" w:type="dxa"/>
              <w:bottom w:w="108" w:type="dxa"/>
            </w:tcMar>
          </w:tcPr>
          <w:p w14:paraId="445A5DDE" w14:textId="77777777" w:rsidR="00D328FD" w:rsidRDefault="00E33159">
            <w:pPr>
              <w:pStyle w:val="Tekstpodstawowy"/>
              <w:spacing w:before="16" w:after="16"/>
            </w:pPr>
            <w:r>
              <w:t>W badaniu TIMSS 2023 istnieją dwie zmienne związane z domowym statusem społeczno-ekonomicznym:</w:t>
            </w:r>
            <w:r>
              <w:br/>
              <w:t>- ASBHSES - status społeczno-ekonomiczny/SCL (zmienna ciągła); - ASDHSES - status społeczno-ekonomiczny/IDX (zmienna kategoryczna);</w:t>
            </w:r>
            <w:r>
              <w:br/>
              <w:t>Do analizy regresji użyjemy z</w:t>
            </w:r>
            <w:r>
              <w:t>miennej ciągłej (ASBHSES), niemniej zmienna kategoryczna (ASDHSES) może być również użyta w tej analizie podobnie do analizy regresji z lokalizacją szkoły jako predyktorem.</w:t>
            </w:r>
          </w:p>
        </w:tc>
      </w:tr>
    </w:tbl>
    <w:p w14:paraId="19C7E2E0" w14:textId="77777777" w:rsidR="00D328FD" w:rsidRDefault="00E33159">
      <w:pPr>
        <w:pStyle w:val="Tekstpodstawowy"/>
      </w:pPr>
      <w:r>
        <w:rPr>
          <w:noProof/>
        </w:rPr>
        <w:lastRenderedPageBreak/>
        <w:drawing>
          <wp:inline distT="0" distB="0" distL="0" distR="0" wp14:anchorId="140BBA57" wp14:editId="20F85886">
            <wp:extent cx="5969000" cy="3944315"/>
            <wp:effectExtent l="0" t="0" r="0" b="0"/>
            <wp:docPr id="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img/reg_def_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944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576D17" w14:textId="094B4680" w:rsidR="00E33159" w:rsidRDefault="00E33159">
      <w:pPr>
        <w:pStyle w:val="Tekstpodstawowy"/>
      </w:pPr>
      <w:r>
        <w:rPr>
          <w:noProof/>
        </w:rPr>
        <w:drawing>
          <wp:inline distT="0" distB="0" distL="0" distR="0" wp14:anchorId="7268DA01" wp14:editId="3B804396">
            <wp:extent cx="5969000" cy="3581400"/>
            <wp:effectExtent l="0" t="0" r="0" b="0"/>
            <wp:docPr id="7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img/reg_results_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C4F4E" w14:textId="77777777" w:rsidR="00E33159" w:rsidRDefault="00E33159">
      <w:pPr>
        <w:rPr>
          <w:sz w:val="22"/>
        </w:rPr>
      </w:pPr>
      <w:r>
        <w:br w:type="page"/>
      </w:r>
    </w:p>
    <w:p w14:paraId="19952223" w14:textId="77777777" w:rsidR="00D328FD" w:rsidRDefault="00D328FD">
      <w:pPr>
        <w:pStyle w:val="Tekstpodstawowy"/>
      </w:pPr>
    </w:p>
    <w:tbl>
      <w:tblPr>
        <w:tblStyle w:val="Table"/>
        <w:tblW w:w="5000" w:type="pct"/>
        <w:tblInd w:w="164" w:type="dxa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694"/>
      </w:tblGrid>
      <w:tr w:rsidR="00D328FD" w14:paraId="3E5D8F44" w14:textId="77777777" w:rsidTr="00D328FD">
        <w:trPr>
          <w:cantSplit/>
        </w:trPr>
        <w:tc>
          <w:tcPr>
            <w:tcW w:w="0" w:type="auto"/>
            <w:shd w:val="clear" w:color="auto" w:fill="DAE6FB"/>
            <w:tcMar>
              <w:top w:w="92" w:type="dxa"/>
              <w:bottom w:w="92" w:type="dxa"/>
            </w:tcMar>
          </w:tcPr>
          <w:p w14:paraId="4900CA4C" w14:textId="77777777" w:rsidR="00D328FD" w:rsidRDefault="00E33159">
            <w:pPr>
              <w:pStyle w:val="Tekstpodstawowy"/>
              <w:spacing w:before="16" w:after="16"/>
            </w:pPr>
            <w:r>
              <w:t>Interpretacja</w:t>
            </w:r>
          </w:p>
        </w:tc>
      </w:tr>
      <w:tr w:rsidR="00D328FD" w14:paraId="16724CC9" w14:textId="77777777" w:rsidTr="00D328FD">
        <w:trPr>
          <w:cantSplit/>
        </w:trPr>
        <w:tc>
          <w:tcPr>
            <w:tcW w:w="0" w:type="auto"/>
            <w:tcMar>
              <w:top w:w="108" w:type="dxa"/>
              <w:bottom w:w="108" w:type="dxa"/>
            </w:tcMar>
          </w:tcPr>
          <w:p w14:paraId="264DEC63" w14:textId="77777777" w:rsidR="00D328FD" w:rsidRDefault="00E33159">
            <w:pPr>
              <w:pStyle w:val="Tekstpodstawowy"/>
              <w:spacing w:before="16" w:after="16"/>
            </w:pPr>
            <w:r>
              <w:t>Tym razem SES jest istotnym predyktorem we wszystkich czterech krajach i konsekwentnie wiąże się ze wzrostem wyników w zakresie biologii.</w:t>
            </w:r>
            <w:r>
              <w:br/>
              <w:t>Siła związku różni się w zależności od kraju, z najsilniejszą zależnością obserwowaną w Niemczech, następnie w Nowej Z</w:t>
            </w:r>
            <w:r>
              <w:t>elandii, Polsce, a najsłabszą w Gruzji.</w:t>
            </w:r>
            <w:r>
              <w:br/>
              <w:t>W Polsce wzrost SES (średnia 10, SD = 2) o jeden punkt na skali wiąże się ze średnim wzrostem o 18,77 punktów w wynikach w zakresie biologii, podczas gdy w Niemczech ten sam wzrost SES odpowiada średniemu wzrostowi o</w:t>
            </w:r>
            <w:r>
              <w:t xml:space="preserve"> 26,25 punktów w wynikach z zakresu biologii.</w:t>
            </w:r>
          </w:p>
        </w:tc>
      </w:tr>
    </w:tbl>
    <w:p w14:paraId="39F8850D" w14:textId="77777777" w:rsidR="00D328FD" w:rsidRDefault="00E33159">
      <w:pPr>
        <w:pStyle w:val="Nagwek2"/>
      </w:pPr>
      <w:bookmarkStart w:id="10" w:name="podsumowanie"/>
      <w:bookmarkStart w:id="11" w:name="_Toc210303341"/>
      <w:bookmarkEnd w:id="8"/>
      <w:r>
        <w:t>6 Podsumowanie</w:t>
      </w:r>
      <w:bookmarkEnd w:id="11"/>
    </w:p>
    <w:p w14:paraId="0E1508E3" w14:textId="77777777" w:rsidR="00D328FD" w:rsidRDefault="00E33159">
      <w:pPr>
        <w:pStyle w:val="FirstParagraph"/>
      </w:pPr>
      <w:r>
        <w:t>Ten dokument pokazuje, jak przygotować i analizować zestaw danych TIMSS 2023 przy użyciu IEA IDB Analyzer. Omówiliśmy łączenie danych za pomocą IEA IDB Analyzer, obliczenie statystyk opisowych i</w:t>
      </w:r>
      <w:r>
        <w:t xml:space="preserve"> przeprowadzenie analiz regresji z uwzględnieniem złożonego projektu badania. Wyniki dostarczyły wglądu w różnice w wynikach w zakresie biologii i rozumowania matematycznego według kraju, płci, wielkości miejsca zamieszkania i statusu społeczno-ekonomiczne</w:t>
      </w:r>
      <w:r>
        <w:t>go.</w:t>
      </w:r>
      <w:bookmarkEnd w:id="10"/>
    </w:p>
    <w:sectPr w:rsidR="00D328FD">
      <w:footnotePr>
        <w:numRestart w:val="eachSect"/>
      </w:footnotePr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98F9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7A8AD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B4B8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CC99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4401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F20D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7676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BA31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548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2C5C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A990"/>
    <w:multiLevelType w:val="multilevel"/>
    <w:tmpl w:val="75AA5EFE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1" w15:restartNumberingAfterBreak="0">
    <w:nsid w:val="0000A991"/>
    <w:multiLevelType w:val="multilevel"/>
    <w:tmpl w:val="D0D4F2BC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70CD2DE"/>
    <w:multiLevelType w:val="multilevel"/>
    <w:tmpl w:val="15D02C2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0"/>
  </w:num>
  <w:num w:numId="13">
    <w:abstractNumId w:val="11"/>
  </w:num>
  <w:num w:numId="14">
    <w:abstractNumId w:val="1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220A"/>
    <w:rsid w:val="0015220A"/>
    <w:rsid w:val="0029465D"/>
    <w:rsid w:val="003F7AFB"/>
    <w:rsid w:val="00861FEF"/>
    <w:rsid w:val="00890C5C"/>
    <w:rsid w:val="008F56F3"/>
    <w:rsid w:val="0097266B"/>
    <w:rsid w:val="00D328FD"/>
    <w:rsid w:val="00E33159"/>
    <w:rsid w:val="00E6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B3236"/>
  <w15:docId w15:val="{4EC52A0A-0E78-47E4-BE3F-85EB99E6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Tekstpodstawowy"/>
    <w:link w:val="Nagwek1Znak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Tekstpodstawowy"/>
    <w:link w:val="Nagwek2Znak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Tekstpodstawowy"/>
    <w:link w:val="Nagwek3Znak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Tekstpodstawowy"/>
    <w:link w:val="Nagwek4Znak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Tekstpodstawowy"/>
    <w:link w:val="Nagwek5Znak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Tekstpodstawowy"/>
    <w:link w:val="Nagwek6Znak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Tekstpodstawowy"/>
    <w:link w:val="Nagwek7Znak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Tekstpodstawowy"/>
    <w:link w:val="Nagwek8Znak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Tekstpodstawowy"/>
    <w:link w:val="Nagwek9Znak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qFormat/>
    <w:rsid w:val="008F56F3"/>
    <w:pPr>
      <w:spacing w:before="180" w:after="180"/>
    </w:pPr>
    <w:rPr>
      <w:sz w:val="22"/>
    </w:rPr>
  </w:style>
  <w:style w:type="paragraph" w:customStyle="1" w:styleId="FirstParagraph">
    <w:name w:val="First Paragraph"/>
    <w:basedOn w:val="Tekstpodstawowy"/>
    <w:next w:val="Tekstpodstawowy"/>
    <w:qFormat/>
  </w:style>
  <w:style w:type="paragraph" w:customStyle="1" w:styleId="Compact">
    <w:name w:val="Compact"/>
    <w:basedOn w:val="Tekstpodstawowy"/>
    <w:qFormat/>
    <w:rsid w:val="00E64D09"/>
    <w:pPr>
      <w:spacing w:before="36" w:after="36"/>
    </w:pPr>
    <w:rPr>
      <w:sz w:val="20"/>
    </w:rPr>
  </w:style>
  <w:style w:type="paragraph" w:styleId="Tytu">
    <w:name w:val="Title"/>
    <w:basedOn w:val="Normalny"/>
    <w:next w:val="Tekstpodstawowy"/>
    <w:link w:val="TytuZnak"/>
    <w:uiPriority w:val="10"/>
    <w:qFormat/>
    <w:rsid w:val="003F7AFB"/>
    <w:pPr>
      <w:spacing w:after="8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F7AFB"/>
    <w:rPr>
      <w:rFonts w:asciiTheme="majorHAnsi" w:eastAsiaTheme="majorEastAsia" w:hAnsiTheme="majorHAnsi" w:cstheme="majorBidi"/>
      <w:sz w:val="56"/>
      <w:szCs w:val="56"/>
    </w:rPr>
  </w:style>
  <w:style w:type="paragraph" w:styleId="Podtytu">
    <w:name w:val="Subtitle"/>
    <w:basedOn w:val="Tytu"/>
    <w:next w:val="Tekstpodstawowy"/>
    <w:link w:val="PodtytuZnak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Tytu"/>
    <w:next w:val="Tekstpodstawowy"/>
    <w:qFormat/>
    <w:pPr>
      <w:keepNext/>
      <w:keepLines/>
    </w:pPr>
    <w:rPr>
      <w:sz w:val="24"/>
      <w:szCs w:val="24"/>
    </w:rPr>
  </w:style>
  <w:style w:type="paragraph" w:styleId="Data">
    <w:name w:val="Date"/>
    <w:basedOn w:val="Tytu"/>
    <w:next w:val="Tekstpodstawowy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Normalny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ny"/>
    <w:next w:val="Tekstpodstawowy"/>
    <w:qFormat/>
    <w:pPr>
      <w:keepNext/>
      <w:keepLines/>
      <w:spacing w:before="100" w:after="300"/>
    </w:pPr>
    <w:rPr>
      <w:sz w:val="20"/>
      <w:szCs w:val="20"/>
    </w:rPr>
  </w:style>
  <w:style w:type="paragraph" w:styleId="Bibliografia">
    <w:name w:val="Bibliography"/>
    <w:basedOn w:val="Normalny"/>
    <w:qFormat/>
  </w:style>
  <w:style w:type="character" w:customStyle="1" w:styleId="Nagwek1Znak">
    <w:name w:val="Nagłówek 1 Znak"/>
    <w:basedOn w:val="Domylnaczcionkaakapitu"/>
    <w:link w:val="Nagwek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Tekstblokowy">
    <w:name w:val="Block Text"/>
    <w:basedOn w:val="Tekstpodstawowy"/>
    <w:next w:val="Tekstpodstawowy"/>
    <w:uiPriority w:val="9"/>
    <w:unhideWhenUsed/>
    <w:qFormat/>
    <w:pPr>
      <w:spacing w:before="100" w:after="100"/>
      <w:ind w:left="480" w:right="480"/>
    </w:pPr>
  </w:style>
  <w:style w:type="paragraph" w:styleId="Tekstprzypisudolnego">
    <w:name w:val="footnote text"/>
    <w:basedOn w:val="Normalny"/>
    <w:uiPriority w:val="9"/>
    <w:unhideWhenUsed/>
    <w:qFormat/>
  </w:style>
  <w:style w:type="paragraph" w:customStyle="1" w:styleId="FootnoteBlockText">
    <w:name w:val="Footnote Block Text"/>
    <w:basedOn w:val="Tekstprzypisudolnego"/>
    <w:next w:val="Tekstprzypisudolnego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ny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ny"/>
  </w:style>
  <w:style w:type="paragraph" w:styleId="Legenda">
    <w:name w:val="caption"/>
    <w:basedOn w:val="Normalny"/>
    <w:link w:val="LegendaZnak"/>
    <w:pPr>
      <w:spacing w:after="120"/>
    </w:pPr>
    <w:rPr>
      <w:i/>
    </w:rPr>
  </w:style>
  <w:style w:type="paragraph" w:customStyle="1" w:styleId="TableCaption">
    <w:name w:val="Table Caption"/>
    <w:basedOn w:val="Legenda"/>
    <w:pPr>
      <w:keepNext/>
    </w:pPr>
  </w:style>
  <w:style w:type="paragraph" w:customStyle="1" w:styleId="ImageCaption">
    <w:name w:val="Image Caption"/>
    <w:basedOn w:val="Legenda"/>
  </w:style>
  <w:style w:type="paragraph" w:customStyle="1" w:styleId="Figure">
    <w:name w:val="Figure"/>
    <w:basedOn w:val="Normalny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egendaZnak">
    <w:name w:val="Legenda Znak"/>
    <w:basedOn w:val="Domylnaczcionkaakapitu"/>
    <w:link w:val="Legenda"/>
  </w:style>
  <w:style w:type="character" w:customStyle="1" w:styleId="VerbatimChar">
    <w:name w:val="Verbatim Char"/>
    <w:basedOn w:val="LegendaZnak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LegendaZnak"/>
  </w:style>
  <w:style w:type="character" w:styleId="Odwoanieprzypisudolnego">
    <w:name w:val="footnote reference"/>
    <w:basedOn w:val="LegendaZnak"/>
    <w:rPr>
      <w:vertAlign w:val="superscript"/>
    </w:rPr>
  </w:style>
  <w:style w:type="character" w:styleId="Hipercze">
    <w:name w:val="Hyperlink"/>
    <w:basedOn w:val="LegendaZnak"/>
    <w:uiPriority w:val="99"/>
    <w:rPr>
      <w:color w:val="156082" w:themeColor="accent1"/>
    </w:rPr>
  </w:style>
  <w:style w:type="paragraph" w:styleId="Nagwekspisutreci">
    <w:name w:val="TOC Heading"/>
    <w:basedOn w:val="Nagwek1"/>
    <w:next w:val="Tekstpodstawowy"/>
    <w:uiPriority w:val="39"/>
    <w:unhideWhenUsed/>
    <w:qFormat/>
    <w:pPr>
      <w:spacing w:before="240" w:line="259" w:lineRule="auto"/>
      <w:outlineLvl w:val="9"/>
    </w:pPr>
  </w:style>
  <w:style w:type="character" w:customStyle="1" w:styleId="TekstpodstawowyZnak">
    <w:name w:val="Tekst podstawowy Znak"/>
    <w:basedOn w:val="Domylnaczcionkaakapitu"/>
    <w:link w:val="Tekstpodstawowy"/>
    <w:rsid w:val="008F56F3"/>
    <w:rPr>
      <w:sz w:val="22"/>
    </w:rPr>
  </w:style>
  <w:style w:type="paragraph" w:customStyle="1" w:styleId="SourceCode">
    <w:name w:val="Source Code"/>
    <w:link w:val="VerbatimChar"/>
    <w:pPr>
      <w:shd w:val="clear" w:color="auto" w:fill="F1F3F5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3B4F"/>
      <w:sz w:val="22"/>
      <w:shd w:val="clear" w:color="auto" w:fill="F1F3F5"/>
    </w:rPr>
  </w:style>
  <w:style w:type="character" w:customStyle="1" w:styleId="DataTypeTok">
    <w:name w:val="DataType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DecValTok">
    <w:name w:val="DecVal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BaseNTok">
    <w:name w:val="BaseN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FloatTok">
    <w:name w:val="Float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ConstantTok">
    <w:name w:val="ConstantTok"/>
    <w:basedOn w:val="VerbatimChar"/>
    <w:rPr>
      <w:rFonts w:ascii="Consolas" w:hAnsi="Consolas"/>
      <w:color w:val="8F5902"/>
      <w:sz w:val="22"/>
      <w:shd w:val="clear" w:color="auto" w:fill="F1F3F5"/>
    </w:rPr>
  </w:style>
  <w:style w:type="character" w:customStyle="1" w:styleId="CharTok">
    <w:name w:val="CharTok"/>
    <w:basedOn w:val="VerbatimChar"/>
    <w:rPr>
      <w:rFonts w:ascii="Consolas" w:hAnsi="Consolas"/>
      <w:color w:val="20794D"/>
      <w:sz w:val="22"/>
      <w:shd w:val="clear" w:color="auto" w:fill="F1F3F5"/>
    </w:rPr>
  </w:style>
  <w:style w:type="character" w:customStyle="1" w:styleId="SpecialCharTok">
    <w:name w:val="SpecialChar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StringTok">
    <w:name w:val="StringTok"/>
    <w:basedOn w:val="VerbatimChar"/>
    <w:rPr>
      <w:rFonts w:ascii="Consolas" w:hAnsi="Consolas"/>
      <w:color w:val="20794D"/>
      <w:sz w:val="22"/>
      <w:shd w:val="clear" w:color="auto" w:fill="F1F3F5"/>
    </w:rPr>
  </w:style>
  <w:style w:type="character" w:customStyle="1" w:styleId="VerbatimStringTok">
    <w:name w:val="VerbatimStringTok"/>
    <w:basedOn w:val="VerbatimChar"/>
    <w:rPr>
      <w:rFonts w:ascii="Consolas" w:hAnsi="Consolas"/>
      <w:color w:val="20794D"/>
      <w:sz w:val="22"/>
      <w:shd w:val="clear" w:color="auto" w:fill="F1F3F5"/>
    </w:rPr>
  </w:style>
  <w:style w:type="character" w:customStyle="1" w:styleId="SpecialStringTok">
    <w:name w:val="SpecialStringTok"/>
    <w:basedOn w:val="VerbatimChar"/>
    <w:rPr>
      <w:rFonts w:ascii="Consolas" w:hAnsi="Consolas"/>
      <w:color w:val="20794D"/>
      <w:sz w:val="22"/>
      <w:shd w:val="clear" w:color="auto" w:fill="F1F3F5"/>
    </w:rPr>
  </w:style>
  <w:style w:type="character" w:customStyle="1" w:styleId="ImportTok">
    <w:name w:val="ImportTok"/>
    <w:basedOn w:val="VerbatimChar"/>
    <w:rPr>
      <w:rFonts w:ascii="Consolas" w:hAnsi="Consolas"/>
      <w:color w:val="00769E"/>
      <w:sz w:val="22"/>
      <w:shd w:val="clear" w:color="auto" w:fill="F1F3F5"/>
    </w:rPr>
  </w:style>
  <w:style w:type="character" w:customStyle="1" w:styleId="CommentTok">
    <w:name w:val="Comment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5E5E5E"/>
      <w:sz w:val="22"/>
      <w:shd w:val="clear" w:color="auto" w:fill="F1F3F5"/>
    </w:rPr>
  </w:style>
  <w:style w:type="character" w:customStyle="1" w:styleId="AnnotationTok">
    <w:name w:val="Annotation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CommentVarTok">
    <w:name w:val="CommentVarTok"/>
    <w:basedOn w:val="VerbatimChar"/>
    <w:rPr>
      <w:rFonts w:ascii="Consolas" w:hAnsi="Consolas"/>
      <w:i/>
      <w:color w:val="5E5E5E"/>
      <w:sz w:val="22"/>
      <w:shd w:val="clear" w:color="auto" w:fill="F1F3F5"/>
    </w:rPr>
  </w:style>
  <w:style w:type="character" w:customStyle="1" w:styleId="OtherTok">
    <w:name w:val="Other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FunctionTok">
    <w:name w:val="FunctionTok"/>
    <w:basedOn w:val="VerbatimChar"/>
    <w:rPr>
      <w:rFonts w:ascii="Consolas" w:hAnsi="Consolas"/>
      <w:color w:val="4758AB"/>
      <w:sz w:val="22"/>
      <w:shd w:val="clear" w:color="auto" w:fill="F1F3F5"/>
    </w:rPr>
  </w:style>
  <w:style w:type="character" w:customStyle="1" w:styleId="VariableTok">
    <w:name w:val="VariableTok"/>
    <w:basedOn w:val="VerbatimChar"/>
    <w:rPr>
      <w:rFonts w:ascii="Consolas" w:hAnsi="Consolas"/>
      <w:color w:val="111111"/>
      <w:sz w:val="22"/>
      <w:shd w:val="clear" w:color="auto" w:fill="F1F3F5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3B4F"/>
      <w:sz w:val="22"/>
      <w:shd w:val="clear" w:color="auto" w:fill="F1F3F5"/>
    </w:rPr>
  </w:style>
  <w:style w:type="character" w:customStyle="1" w:styleId="OperatorTok">
    <w:name w:val="Operator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BuiltInTok">
    <w:name w:val="BuiltIn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ExtensionTok">
    <w:name w:val="Extension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PreprocessorTok">
    <w:name w:val="Preprocessor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AttributeTok">
    <w:name w:val="AttributeTok"/>
    <w:basedOn w:val="VerbatimChar"/>
    <w:rPr>
      <w:rFonts w:ascii="Consolas" w:hAnsi="Consolas"/>
      <w:color w:val="657422"/>
      <w:sz w:val="22"/>
      <w:shd w:val="clear" w:color="auto" w:fill="F1F3F5"/>
    </w:rPr>
  </w:style>
  <w:style w:type="character" w:customStyle="1" w:styleId="RegionMarkerTok">
    <w:name w:val="RegionMarker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InformationTok">
    <w:name w:val="Information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WarningTok">
    <w:name w:val="WarningTok"/>
    <w:basedOn w:val="VerbatimChar"/>
    <w:rPr>
      <w:rFonts w:ascii="Consolas" w:hAnsi="Consolas"/>
      <w:i/>
      <w:color w:val="5E5E5E"/>
      <w:sz w:val="22"/>
      <w:shd w:val="clear" w:color="auto" w:fill="F1F3F5"/>
    </w:rPr>
  </w:style>
  <w:style w:type="character" w:customStyle="1" w:styleId="AlertTok">
    <w:name w:val="Alert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ErrorTok">
    <w:name w:val="Error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NormalTok">
    <w:name w:val="NormalTok"/>
    <w:basedOn w:val="VerbatimChar"/>
    <w:rPr>
      <w:rFonts w:ascii="Consolas" w:hAnsi="Consolas"/>
      <w:color w:val="003B4F"/>
      <w:sz w:val="22"/>
      <w:shd w:val="clear" w:color="auto" w:fill="F1F3F5"/>
    </w:rPr>
  </w:style>
  <w:style w:type="paragraph" w:styleId="Spistreci2">
    <w:name w:val="toc 2"/>
    <w:basedOn w:val="Normalny"/>
    <w:next w:val="Normalny"/>
    <w:autoRedefine/>
    <w:uiPriority w:val="39"/>
    <w:unhideWhenUsed/>
    <w:rsid w:val="00E33159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ea.nl/data-tools/repository/timss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ibe.edu.pl/pl/dane/instrukcje/idb-analyzer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1198</Words>
  <Characters>7193</Characters>
  <Application>Microsoft Office Word</Application>
  <DocSecurity>0</DocSecurity>
  <Lines>59</Lines>
  <Paragraphs>16</Paragraphs>
  <ScaleCrop>false</ScaleCrop>
  <Company/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tematyczna danych TIMSS za pomocą IEA IDB Analyzer</dc:title>
  <dc:creator>Jan Szczypiński</dc:creator>
  <cp:keywords/>
  <cp:lastModifiedBy>Jan Szczypiński</cp:lastModifiedBy>
  <cp:revision>2</cp:revision>
  <dcterms:created xsi:type="dcterms:W3CDTF">2025-10-02T11:02:00Z</dcterms:created>
  <dcterms:modified xsi:type="dcterms:W3CDTF">2025-10-02T11:15:00Z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ate">
    <vt:lpwstr>2025-10-02</vt:lpwstr>
  </property>
  <property fmtid="{D5CDD505-2E9C-101B-9397-08002B2CF9AE}" pid="6" name="execute">
    <vt:lpwstr/>
  </property>
  <property fmtid="{D5CDD505-2E9C-101B-9397-08002B2CF9AE}" pid="7" name="header-includes">
    <vt:lpwstr/>
  </property>
  <property fmtid="{D5CDD505-2E9C-101B-9397-08002B2CF9AE}" pid="8" name="include-after">
    <vt:lpwstr/>
  </property>
  <property fmtid="{D5CDD505-2E9C-101B-9397-08002B2CF9AE}" pid="9" name="include-before">
    <vt:lpwstr/>
  </property>
  <property fmtid="{D5CDD505-2E9C-101B-9397-08002B2CF9AE}" pid="10" name="labels">
    <vt:lpwstr/>
  </property>
  <property fmtid="{D5CDD505-2E9C-101B-9397-08002B2CF9AE}" pid="11" name="subtitle">
    <vt:lpwstr>Ocena związku płci, kraju, lokalizacji szkoły i statusu społeczno-ekonomicznego z wynikiami w zakresie biologii i rozumowania matematycznego. W poradniku wykorzystano statystyki opisowe i analizę regresji liniowej.</vt:lpwstr>
  </property>
  <property fmtid="{D5CDD505-2E9C-101B-9397-08002B2CF9AE}" pid="12" name="toc-expand">
    <vt:lpwstr>True</vt:lpwstr>
  </property>
  <property fmtid="{D5CDD505-2E9C-101B-9397-08002B2CF9AE}" pid="13" name="toc-title">
    <vt:lpwstr>Spis treści</vt:lpwstr>
  </property>
</Properties>
</file>