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6 do Regulaminu konkursu grantowego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KARTA OCENY MERYTORYCZNEJ WNIOSKU GRANTOWEGO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hanging="4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realizowanego w ramach projektu grantowego pn.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„Rozwój kształcenia zawodowego na 5. poziomie Polskiej Ramy Kwalifikacji”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406" w:hanging="283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Instytucja organizująca konkurs: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Instytut Badań Edukacyjnych - Państwowy Instytut Badawczy</w:t>
      </w:r>
    </w:p>
    <w:p w:rsidR="00000000" w:rsidDel="00000000" w:rsidP="00000000" w:rsidRDefault="00000000" w:rsidRPr="00000000" w14:paraId="0000000B">
      <w:pPr>
        <w:spacing w:line="360" w:lineRule="auto"/>
        <w:ind w:right="-406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wpływu wniosku: ………………………………………………………………………………...</w:t>
      </w:r>
    </w:p>
    <w:p w:rsidR="00000000" w:rsidDel="00000000" w:rsidP="00000000" w:rsidRDefault="00000000" w:rsidRPr="00000000" w14:paraId="0000000C">
      <w:pPr>
        <w:spacing w:line="360" w:lineRule="auto"/>
        <w:ind w:right="-406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wniosku: 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ind w:right="-406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Tytuł wniosku grantowego: 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line="360" w:lineRule="auto"/>
        <w:ind w:right="-264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Wnioskodawcy: ……………………………………………………………………….………</w:t>
      </w:r>
    </w:p>
    <w:p w:rsidR="00000000" w:rsidDel="00000000" w:rsidP="00000000" w:rsidRDefault="00000000" w:rsidRPr="00000000" w14:paraId="0000000F">
      <w:pPr>
        <w:spacing w:line="360" w:lineRule="auto"/>
        <w:ind w:right="-264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 publiczny/niepubliczny: ……………………………………………………………………..</w:t>
      </w:r>
    </w:p>
    <w:p w:rsidR="00000000" w:rsidDel="00000000" w:rsidP="00000000" w:rsidRDefault="00000000" w:rsidRPr="00000000" w14:paraId="00000010">
      <w:pPr>
        <w:spacing w:line="360" w:lineRule="auto"/>
        <w:ind w:right="-264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szkoły policealnej: 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360" w:lineRule="auto"/>
        <w:ind w:right="-406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uczelni: 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line="360" w:lineRule="auto"/>
        <w:ind w:right="-406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pracodawcy: 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spacing w:line="360" w:lineRule="auto"/>
        <w:ind w:right="-406" w:hanging="283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Członkowie Komisji Konkursowej: 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hanging="425"/>
        <w:rPr>
          <w:sz w:val="10"/>
          <w:szCs w:val="10"/>
          <w:highlight w:val="lightGr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4425"/>
        <w:gridCol w:w="975"/>
        <w:gridCol w:w="1005"/>
        <w:gridCol w:w="4230"/>
        <w:tblGridChange w:id="0">
          <w:tblGrid>
            <w:gridCol w:w="570"/>
            <w:gridCol w:w="4425"/>
            <w:gridCol w:w="975"/>
            <w:gridCol w:w="1005"/>
            <w:gridCol w:w="423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6e6e6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CZĘŚĆ A. Spełnienie kryteriów merytorycznych ocenianych w systemie 0-1</w:t>
            </w:r>
          </w:p>
          <w:p w:rsidR="00000000" w:rsidDel="00000000" w:rsidP="00000000" w:rsidRDefault="00000000" w:rsidRPr="00000000" w14:paraId="0000001D">
            <w:pPr>
              <w:ind w:left="1133" w:right="19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(wymagane jest spełnienie wszystkich kryteriów merytorycznych ocenianych 0-1,</w:t>
            </w:r>
          </w:p>
          <w:p w:rsidR="00000000" w:rsidDel="00000000" w:rsidP="00000000" w:rsidRDefault="00000000" w:rsidRPr="00000000" w14:paraId="0000001E">
            <w:pPr>
              <w:ind w:left="1133" w:right="194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przy czym NIE oznacza 0, TAK oznacza 1)</w:t>
            </w:r>
          </w:p>
          <w:p w:rsidR="00000000" w:rsidDel="00000000" w:rsidP="00000000" w:rsidRDefault="00000000" w:rsidRPr="00000000" w14:paraId="0000001F">
            <w:pPr>
              <w:ind w:left="1133" w:right="194" w:firstLine="0"/>
              <w:jc w:val="center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Nazwa kryterium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NIE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2B">
            <w:pPr>
              <w:tabs>
                <w:tab w:val="center" w:leader="none" w:pos="1805"/>
                <w:tab w:val="right" w:leader="none" w:pos="3611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(wypełnić w przypadku zaznaczenia „NIE”)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Czy eksperyment pedagogiczny dotyczy uruchomienia i realizacji kształcenia </w:t>
              <w:br w:type="textWrapping"/>
              <w:t xml:space="preserve">w zawodzie eksperymentalnym, którego nie obejmuje klasyfikacja zawodów szkolnictwa branżowego i w którym dotychczas nie kształci się na 5. poziomie Polskiej Ramy Kwalifikacji?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Czy  eksperyment pedagogiczny dotyczy zawodu eksperymentalnego przypisanego </w:t>
              <w:br w:type="textWrapping"/>
              <w:t xml:space="preserve">do 5. poziomu Polskiej Ramy Kwalifikacji?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Czy wskazano propozycję nazwy zawodu eksperymentalnego i nazwę kwalifikacji </w:t>
              <w:br w:type="textWrapping"/>
              <w:t xml:space="preserve">w zawodzie eksperymentalnym?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Czy okres kształcenia w zawodzie eksperymentalnym zaplanowano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przez okres 2 semestrów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wskazano jedną wybraną formę kształcenia: dzienną albo stacjonarną?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godziny przewidziane na praktyki zawodowe (140 godzin w rocznym cyklu kształcenia) przeznaczone zostały dodatkowo na realizację zajęć praktycznych u pracodawcy oraz czy wymiar godzin przeznaczonych na kształcenie zawodowe praktyczne stanowi co najmniej 65% godzin przeznaczonych na kształcenie zawodowe?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8"/>
                <w:szCs w:val="1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uwzględniono obligatoryjne wskaźniki: wskaźnik rezultatu i wskaźniki produktu, </w:t>
              <w:br w:type="textWrapping"/>
              <w:t xml:space="preserve">o których mowa w § 2 ust 17 Regulaminu konkursu grantowego?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Decyzja w sprawie spełniania kryteriów merytorycznych 0-1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NIE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Czy wniosek grantowy spełnia wszystkie kryteria merytoryczne oceniane 0-1 i może zostać przekazany </w:t>
              <w:br w:type="textWrapping"/>
              <w:t xml:space="preserve">do merytorycznej oceny punktowej?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sz w:val="2"/>
          <w:szCs w:val="2"/>
          <w:highlight w:val="lightGr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465"/>
        <w:gridCol w:w="1260"/>
        <w:gridCol w:w="1125"/>
        <w:gridCol w:w="4770"/>
        <w:tblGridChange w:id="0">
          <w:tblGrid>
            <w:gridCol w:w="570"/>
            <w:gridCol w:w="3465"/>
            <w:gridCol w:w="1260"/>
            <w:gridCol w:w="1125"/>
            <w:gridCol w:w="47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6e6e6" w:val="clea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CZĘŚĆ B. Spełnienie kryteriów merytorycznych ocenianych punktowo – max. 100 punktów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3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(każdorazowo wpisać liczbę przyznanych punktów)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0"/>
                <w:szCs w:val="1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Nazwa kryterium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TAK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NIE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(wstawić 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7B">
            <w:pPr>
              <w:tabs>
                <w:tab w:val="center" w:leader="none" w:pos="1805"/>
                <w:tab w:val="right" w:leader="none" w:pos="3611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(wypełnić w przypadku zaznaczenia „NIE”)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Opis uzasadnienia potrzeby prowadzenia kształcenia we wskazanym zawodzie eksperymentalnym, wynikającej </w:t>
              <w:br w:type="textWrapping"/>
              <w:t xml:space="preserve">z regionalnych i lokalnych potrzeb rynku pracy.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Ocenie podlega: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uzasadnienie potrzeby kształcenia </w:t>
              <w:br w:type="textWrapping"/>
              <w:t xml:space="preserve">w zawodzie eksperymentalnym opracowane w oparciu o dane wynikające z badań, analiz lub dokumentów wraz z podaniem źródeł tych danych.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0 - 10 pkt.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Min. 5 pkt.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Max. 10 pkt.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Opis celu, założeń i sposobu realizacji eksperymentu pedagogicznego, w tym działań </w:t>
              <w:br w:type="textWrapping"/>
              <w:t xml:space="preserve">w zakresie kształcenia dualnego.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Ocenie podlega: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celu eksperymentu pedagogicznego,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założenia dotyczące minimalnej liczby słuchaczy w zawodzie eksperymentalnym wraz </w:t>
              <w:br w:type="textWrapping"/>
              <w:t xml:space="preserve">z uzasadnieniem,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założeń dotyczących minimalnych wymagań rekrutacyjnych w stosunku do kandydatów (kryteria rekrutacji wraz z uzasadnieniem ich wyboru),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planowania i realizacji procesu rekrutacji na kierunek eksperymentalny (w tym terminu </w:t>
              <w:br w:type="textWrapping"/>
              <w:t xml:space="preserve">i  sposobu rekrutacji oraz planowanych działań informacyjno-promocyjnych), 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działań podejmowanych </w:t>
              <w:br w:type="textWrapping"/>
              <w:t xml:space="preserve">w sytuacji pojawienia się trudności </w:t>
              <w:br w:type="textWrapping"/>
              <w:t xml:space="preserve">w rekrutacji minimalnej założonej liczby słuchaczy,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propozycja ramowego planu nauczania uwzględniającego realizację kształcenia w formie dziennej,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planowanych do wdrożenia nowatorskich rozwiązań organizacyjnych i metodycznych </w:t>
              <w:br w:type="textWrapping"/>
              <w:t xml:space="preserve">w procesie kształcenia, opis sposobu realizacji eksperymentu pedagogicznego w zakresie kształcenia dualnego ze szczególnym uwzględnieniem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lic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zby godzin realizowanych </w:t>
              <w:br w:type="textWrapping"/>
              <w:t xml:space="preserve">u pracodawcy (przy założeniu wymagań, o których mowa </w:t>
              <w:br w:type="textWrapping"/>
              <w:t xml:space="preserve">w kryterium 5 w części A Karty oceny merytorycznej).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0 - 16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pkt.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8 pkt.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Max. 16 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t.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Opis potencjału szkoły policealnej, w tym potencjału kadrowego i bazy lokalowej, niezbędnego do realizacji przedsięwzięcia grantowego, w tym uruchomienia oraz realizacji eksperymentu pedagogicznego w wybranym zawodzie eksperymentalnym.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Ocenie podlega: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0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kompetencji i doświadczenia osób, które zapewnią realizację przedsięwzięcia grantowego od strony organizacyjnej, finansowo-kadrowej itp. Dla każdej osoby należy wskazać imię i nazwisko, funkcję oraz zakres zadań, jakie dana osoba będzie wykonywać w ramach przedsięwzięcia grantowego,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0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kompetencji i doświadczenia nauczycieli i innych osób, które zapewnią merytoryczną realizację przedsięwzięcia grantowego. Dla każdej osoby należy wskazać imię i nazwisko, funkcję oraz zakres zadań, jakie dana osoba będzie wykonywać w ramach przedsięwzięcia grantowego, 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0"/>
              </w:numPr>
              <w:ind w:left="141" w:hanging="14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opis bazy lokalowej, wraz </w:t>
              <w:br w:type="textWrapping"/>
              <w:t xml:space="preserve">z zapleczem technicznym, planowanej do wykorzystania przy realizacji eksperymentu pedagogicznego w wybranym zawodzie eksperymentalnym.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0 - 10 punktów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5 pkt.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Max. 10 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t.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Opis potencjału pracodawcy, jako partnera wdrożeniowego przedsięwzięcia grantowego, </w:t>
              <w:br w:type="textWrapping"/>
              <w:t xml:space="preserve">w tym eksperymentu pedagogicznego w wybranym zawodzie eksperymentalnym.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Ocenie podlega: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uzasadnienia adekwatności zakresu działalności gospodarczej pracodawcy z obszarem, w którym realizowany będzie zawód eksperymentalny,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kompetencji </w:t>
              <w:br w:type="textWrapping"/>
              <w:t xml:space="preserve">i doświadczenia osób, które zostaną zaangażowane do eksperymentu pedagogicznego </w:t>
              <w:br w:type="textWrapping"/>
              <w:t xml:space="preserve">w wybranym zawodzie eksperymentalnym. Dla każdej osoby należy wskazać funkcję oraz zakres zadań, jakie dana osoba będzie wykonywać na rzecz eksperymentu pedagogicznego,   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bazy lokalowej, wraz </w:t>
              <w:br w:type="textWrapping"/>
              <w:t xml:space="preserve">z zapleczem technicznym, planowanej do wykorzystania przy kształceniu w zawodzie eksperymentalnym,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doświadczenia pracodawcy we współpracy z placówkami edukacyjnymi z zakresu edukacji zawodowej. 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0 - 8 punktów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4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Max. 8 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Opis potencjału uczelni, jako partnera wdrożeniowego przedsięwzięcia grantowego, w tym eksperymentu pedagogicznego w wybranym zawodzie eksperymentalnym.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Ocenie podlega: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uzasadnienia adekwatności zakresu kształcenia uczelni z obszarem, </w:t>
              <w:br w:type="textWrapping"/>
              <w:t xml:space="preserve">w którym realizowany będzie zawód eksperymentalny,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kompetencji i doświadczenia osób, które zostaną zaangażowane do przedsięwzięcia grantowego. Dla każdej osoby należy wskazać funkcję oraz zakres zadań, jakie dana osoba będzie wykonywać na rzecz przedsięwzięcia grantowego,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doświadczenia we współpracy z placówkami edukacyjnymi </w:t>
              <w:br w:type="textWrapping"/>
              <w:t xml:space="preserve">z zakresu edukacji zawodowej.</w:t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0 - 8 punktów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4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Max. 8 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Określenie zakresu współpracy szkoły policealnej z partnerami wdrożeniowymi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uczelnią i pracodawcą) przy uruchomieniu i realizacji eksperymentu pedagogicznego </w:t>
              <w:br w:type="textWrapping"/>
              <w:t xml:space="preserve">w wybranym zawodzie eksperymentalnym.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Ocenie podlega przedstawienie planowanej współpracy </w:t>
              <w:br w:type="textWrapping"/>
              <w:t xml:space="preserve">z uwzględnieniem opisu: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udziału uczelni i pracodawcy w przygotowywaniu dokumentacji niezbędnej do uruchomienia i realizacji eksperymentu pedagogicznego, 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udziału uczelni i pracodawcy w realizacji eksperymentu pedagogicznego.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0 - 18 punktów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 9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  <w:rtl w:val="0"/>
              </w:rPr>
              <w:t xml:space="preserve">Max. 18 pk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Harmonogram uruchomienia </w:t>
              <w:br w:type="textWrapping"/>
              <w:t xml:space="preserve">i realizacji eksperymentu pedagogicznego.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Ocenie podlega, w jakim stopniu harmonogram uruchomienia </w:t>
              <w:br w:type="textWrapping"/>
              <w:t xml:space="preserve">i realizacji eksperymentu pedagogicznego jest realny </w:t>
              <w:br w:type="textWrapping"/>
              <w:t xml:space="preserve">do wykonania i adekwatny do planowanych działań, w tym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czasu trwania kształcenia w zawodzie eksperymentalnym oraz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organizacji roku szkolnego.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0 - 6 punktów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 3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Max. 6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Sposób postępowania </w:t>
              <w:br w:type="textWrapping"/>
              <w:t xml:space="preserve">w przypadku wystąpienia ryzyka.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Ocenie podlegają: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ryzyka nieosiągnięcia założeń uruchomienia i realizacji eksperymentu pedagogicznego wraz z określeniem środków zaradczych, w tym opis sposobu postępowania w przypadku niewystarczającej liczby kandydatów do uruchomienia kształcenia w zawodzie eksperymentalnym,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opis sposobu postępowania </w:t>
              <w:br w:type="textWrapping"/>
              <w:t xml:space="preserve">w przypadku rezygnacji jednego </w:t>
              <w:br w:type="textWrapping"/>
              <w:t xml:space="preserve">z partnerów.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0 - 10 punktów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Max. 10 pkt.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highlight w:val="white"/>
                <w:rtl w:val="0"/>
              </w:rPr>
              <w:t xml:space="preserve">Budżet grantu i przeznaczenie grantu – kwalifikowalność wydatków.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Ocenie podlega: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czy wydatki mieszczą się </w:t>
              <w:br w:type="textWrapping"/>
              <w:t xml:space="preserve">w kategoriach wydatków kwalifikowanych, tj.: przeznaczonych na:  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9"/>
              </w:numPr>
              <w:ind w:left="425" w:hanging="360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zakup wyposażenia pracowni do kształcenia w zawodzie eksperymentalnym. Grant może obejmować wydatki na zakup materiałów, sprzętu oraz usług,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9"/>
              </w:numPr>
              <w:ind w:left="425" w:hanging="360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wynagrodzenia (dodatki dla personelu szkoły zaangażowanego w realizację wszystkich etapów przedsięwzięcia grantowego, o których mowa w § 2 ust. 14 Regulaminu),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9"/>
              </w:numPr>
              <w:ind w:left="425" w:hanging="360"/>
              <w:jc w:val="both"/>
              <w:rPr>
                <w:rFonts w:ascii="Times New Roman" w:cs="Times New Roman" w:eastAsia="Times New Roman" w:hAnsi="Times New Roman"/>
                <w:sz w:val="14"/>
                <w:szCs w:val="14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stypendia dla słuchaczy szkoły policealnej, zgodnie ze stawkami przyjętymi w § 4 ust. 7c), dla wybranej formy kształcenia,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9"/>
              </w:numPr>
              <w:ind w:left="425" w:hanging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wynagrodzenie opiekunów słuchaczy u pracodawców, u których będzie realizowana praktyczna część nauki zawodu zgodnie ze stawkami przyjętymi w § 4 ust. 7d)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dla wybranej formy kształcenia;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bookmarkStart w:colFirst="0" w:colLast="0" w:name="_heading=h.hko4oan68uw6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opis niezbędności </w:t>
              <w:br w:type="textWrapping"/>
              <w:t xml:space="preserve">i racjonalności wydatków zgodnie z przedstawionymi we wniosku grantowym potrzebami dot. przedsięwzięcia grantowego, </w:t>
              <w:br w:type="textWrapping"/>
              <w:t xml:space="preserve">w tym uruchomienia i realizacji eksperymentu pedagogicznego,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sposób oszacowania wysokości wydatków w każdej ww. kategorii, uwzględniający zakładane stawki wynagrodzeń dla personelu szkoły, stypendiów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dla słuchaczy (zgodnie z przyjętą formą kształcenia) wynagrodzeń dla opiekunów słuchaczy u pracodawców (zgodnie z przyjętą formą kształcenia)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ze wskazaniem źródeł,  na podstawie których je określono (koszty powinny zostać oszacowane w sposób oszczędny, adekwatnie do cen rynkowych, </w:t>
              <w:br w:type="textWrapping"/>
              <w:t xml:space="preserve">a w przypadku wynagrodzenia </w:t>
              <w:br w:type="textWrapping"/>
              <w:t xml:space="preserve">w pierwszej kolejności powinny opierać się na wewnętrznych regulaminach /zasadach obowiązujących poza wnioskiem grantowym,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a w przypadku braku takich stawek – w oparciu o stawki rynkowe),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czy przy wszystkich kosztach podano opis wydatku, w tym specyfikację materiałów, urządzeń, sprzętów i usług oraz źródła wyliczenia stawek,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hanging="141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zgodność z przepisami prawa powszechnie obowiązującego, </w:t>
              <w:br w:type="textWrapping"/>
              <w:t xml:space="preserve">w tym krajowego, jak i unijnego.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Opis uzasadnienia wraz z kalkulacją należy przedstawić do każdej pozycji w budżecie.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0 - 14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Min. 7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Max. 14 pkt.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25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Suma przyznanych punktów </w:t>
            </w:r>
          </w:p>
          <w:p w:rsidR="00000000" w:rsidDel="00000000" w:rsidP="00000000" w:rsidRDefault="00000000" w:rsidRPr="00000000" w14:paraId="00000126">
            <w:pPr>
              <w:jc w:val="right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 kryteria merytoryczne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  <w:shd w:fill="b7b7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Czy wniosek otrzymał minimalną liczbę punktów przewidzianych do zdobycia 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każdej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z części od 1 do 9?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(wstawić 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(wstawić X)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UWAGI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Czy wniosek jest rekomendowany </w:t>
              <w:br w:type="textWrapping"/>
              <w:t xml:space="preserve">do dofinansowania (tj. zostanie umieszczony na liście rankingowej)?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hanging="425"/>
        <w:rPr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480" w:lineRule="auto"/>
        <w:ind w:hanging="708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Członkowie Komisji Konkursowej:</w:t>
      </w:r>
    </w:p>
    <w:p w:rsidR="00000000" w:rsidDel="00000000" w:rsidP="00000000" w:rsidRDefault="00000000" w:rsidRPr="00000000" w14:paraId="00000146">
      <w:pPr>
        <w:spacing w:line="480" w:lineRule="auto"/>
        <w:ind w:right="-547" w:hanging="708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Imię i nazwisko: …………………………..………………..……………………………………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(data i podpis)</w:t>
      </w:r>
    </w:p>
    <w:p w:rsidR="00000000" w:rsidDel="00000000" w:rsidP="00000000" w:rsidRDefault="00000000" w:rsidRPr="00000000" w14:paraId="00000147">
      <w:pPr>
        <w:spacing w:line="480" w:lineRule="auto"/>
        <w:ind w:right="-831" w:hanging="708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Imię i nazwisko: ………………………………….……………………………………………..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(data i podpis)</w:t>
      </w:r>
    </w:p>
    <w:p w:rsidR="00000000" w:rsidDel="00000000" w:rsidP="00000000" w:rsidRDefault="00000000" w:rsidRPr="00000000" w14:paraId="00000148">
      <w:pPr>
        <w:spacing w:line="480" w:lineRule="auto"/>
        <w:ind w:right="-972" w:hanging="708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ind w:right="-972" w:hanging="708"/>
        <w:rPr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tabs>
        <w:tab w:val="center" w:leader="none" w:pos="4536"/>
        <w:tab w:val="right" w:leader="none" w:pos="9046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760410" cy="7493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59"/>
    <w:rsid w:val="000A2E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B307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uiPriority w:val="34"/>
    <w:qFormat w:val="1"/>
    <w:rsid w:val="00843548"/>
    <w:pPr>
      <w:ind w:left="720"/>
      <w:contextualSpacing w:val="1"/>
    </w:p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uiPriority w:val="99"/>
    <w:unhideWhenUsed w:val="1"/>
    <w:rsid w:val="00FD28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agwek">
    <w:name w:val="header"/>
    <w:link w:val="NagwekZnak"/>
    <w:uiPriority w:val="99"/>
    <w:unhideWhenUsed w:val="1"/>
    <w:rsid w:val="00C3330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33307"/>
  </w:style>
  <w:style w:type="paragraph" w:styleId="Stopka">
    <w:name w:val="footer"/>
    <w:link w:val="StopkaZnak"/>
    <w:uiPriority w:val="99"/>
    <w:unhideWhenUsed w:val="1"/>
    <w:rsid w:val="00C3330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33307"/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komentarza">
    <w:name w:val="annotation text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link w:val="TekstdymkaZnak"/>
    <w:uiPriority w:val="99"/>
    <w:semiHidden w:val="1"/>
    <w:unhideWhenUsed w:val="1"/>
    <w:rsid w:val="009D485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D4858"/>
    <w:rPr>
      <w:rFonts w:ascii="Segoe UI" w:cs="Segoe UI" w:hAnsi="Segoe UI"/>
      <w:sz w:val="18"/>
      <w:szCs w:val="18"/>
    </w:r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D531DF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XYEvR1S32IFZ8A0GIqLBIHveEw==">CgMxLjAyCGguZ2pkZ3hzMg5oLmhrbzRvYW42OHV3NjgAaksKNXN1Z2dlc3RJZEltcG9ydDNlYmEwY2EyLTVmNGEtNGYxOC05Mzk1LTI4OWZmZGExOTg4ZF8yEhJEcmFwYcWCYSBTxYJhd29taXJqSwo1c3VnZ2VzdElkSW1wb3J0M2ViYTBjYTItNWY0YS00ZjE4LTkzOTUtMjg5ZmZkYTE5ODhkXzESEkRyYXBhxYJhIFPFgmF3b21pcnIhMVJMU1VrYUY3T3lPRG56OUQ0SEpTUDZUemVzQ2hue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2025-11-17T11:30:00Z</dcterms:created>
  <dc:creator>Slawek Suchorab</dc:creator>
</cp:coreProperties>
</file>