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85218B" w:rsidRDefault="001E1A5B" w:rsidP="00230EDF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85218B">
        <w:rPr>
          <w:b w:val="0"/>
          <w:sz w:val="22"/>
          <w:szCs w:val="22"/>
        </w:rPr>
        <w:t>Warszawa</w:t>
      </w:r>
      <w:r w:rsidR="00EE226D" w:rsidRPr="0085218B">
        <w:rPr>
          <w:b w:val="0"/>
          <w:sz w:val="22"/>
          <w:szCs w:val="22"/>
        </w:rPr>
        <w:t>,</w:t>
      </w:r>
      <w:r w:rsidR="00D77F34" w:rsidRPr="0085218B">
        <w:rPr>
          <w:b w:val="0"/>
          <w:sz w:val="22"/>
          <w:szCs w:val="22"/>
        </w:rPr>
        <w:t xml:space="preserve"> </w:t>
      </w:r>
      <w:r w:rsidR="00390A6B" w:rsidRPr="0085218B">
        <w:rPr>
          <w:b w:val="0"/>
          <w:sz w:val="22"/>
          <w:szCs w:val="22"/>
        </w:rPr>
        <w:t>18 maja</w:t>
      </w:r>
      <w:r w:rsidR="006F2AC9" w:rsidRPr="0085218B">
        <w:rPr>
          <w:b w:val="0"/>
          <w:sz w:val="22"/>
          <w:szCs w:val="22"/>
        </w:rPr>
        <w:t xml:space="preserve"> </w:t>
      </w:r>
      <w:r w:rsidR="002A0176" w:rsidRPr="0085218B">
        <w:rPr>
          <w:b w:val="0"/>
          <w:sz w:val="22"/>
          <w:szCs w:val="22"/>
        </w:rPr>
        <w:t>2015</w:t>
      </w:r>
      <w:r w:rsidR="00953E8A" w:rsidRPr="0085218B">
        <w:rPr>
          <w:b w:val="0"/>
          <w:sz w:val="22"/>
          <w:szCs w:val="22"/>
        </w:rPr>
        <w:t xml:space="preserve"> r.</w:t>
      </w:r>
    </w:p>
    <w:p w:rsidR="002E7332" w:rsidRPr="0085218B" w:rsidRDefault="002E7332" w:rsidP="00230EDF">
      <w:pPr>
        <w:pStyle w:val="informacjaprasowa"/>
        <w:spacing w:line="276" w:lineRule="auto"/>
        <w:rPr>
          <w:sz w:val="22"/>
          <w:szCs w:val="22"/>
        </w:rPr>
      </w:pPr>
    </w:p>
    <w:p w:rsidR="00C838F7" w:rsidRPr="0085218B" w:rsidRDefault="00C838F7" w:rsidP="00BA0BF0">
      <w:pPr>
        <w:pStyle w:val="informacjaprasowa"/>
        <w:spacing w:line="276" w:lineRule="auto"/>
        <w:jc w:val="left"/>
        <w:rPr>
          <w:color w:val="E36C0A"/>
          <w:sz w:val="22"/>
          <w:szCs w:val="22"/>
        </w:rPr>
      </w:pPr>
    </w:p>
    <w:p w:rsidR="00721411" w:rsidRDefault="00721411" w:rsidP="00BA0BF0">
      <w:pPr>
        <w:pStyle w:val="informacjaprasowa"/>
        <w:spacing w:line="276" w:lineRule="auto"/>
        <w:jc w:val="left"/>
        <w:rPr>
          <w:color w:val="E36C0A" w:themeColor="accent6" w:themeShade="BF"/>
          <w:sz w:val="22"/>
          <w:szCs w:val="22"/>
        </w:rPr>
      </w:pPr>
    </w:p>
    <w:p w:rsidR="00721411" w:rsidRDefault="00721411" w:rsidP="00BA0BF0">
      <w:pPr>
        <w:pStyle w:val="informacjaprasowa"/>
        <w:spacing w:line="276" w:lineRule="auto"/>
        <w:jc w:val="left"/>
        <w:rPr>
          <w:color w:val="E36C0A" w:themeColor="accent6" w:themeShade="BF"/>
          <w:sz w:val="22"/>
          <w:szCs w:val="22"/>
        </w:rPr>
      </w:pPr>
    </w:p>
    <w:p w:rsidR="00BA0BF0" w:rsidRPr="0085218B" w:rsidRDefault="00BA0BF0" w:rsidP="00BA0BF0">
      <w:pPr>
        <w:pStyle w:val="informacjaprasowa"/>
        <w:spacing w:line="276" w:lineRule="auto"/>
        <w:jc w:val="left"/>
        <w:rPr>
          <w:color w:val="E36C0A" w:themeColor="accent6" w:themeShade="BF"/>
          <w:sz w:val="22"/>
          <w:szCs w:val="22"/>
        </w:rPr>
      </w:pPr>
      <w:r w:rsidRPr="0085218B">
        <w:rPr>
          <w:color w:val="E36C0A" w:themeColor="accent6" w:themeShade="BF"/>
          <w:sz w:val="22"/>
          <w:szCs w:val="22"/>
        </w:rPr>
        <w:t>Informacja prasowa</w:t>
      </w:r>
    </w:p>
    <w:p w:rsidR="00BA0BF0" w:rsidRPr="0085218B" w:rsidRDefault="00BA0BF0" w:rsidP="00BA0BF0">
      <w:pPr>
        <w:pStyle w:val="informacjaprasowa"/>
        <w:spacing w:line="276" w:lineRule="auto"/>
        <w:jc w:val="left"/>
        <w:rPr>
          <w:color w:val="E36C0A" w:themeColor="accent6" w:themeShade="BF"/>
          <w:sz w:val="22"/>
          <w:szCs w:val="22"/>
        </w:rPr>
      </w:pPr>
    </w:p>
    <w:p w:rsidR="00390A6B" w:rsidRPr="0085218B" w:rsidRDefault="00390A6B" w:rsidP="00390A6B">
      <w:pPr>
        <w:spacing w:line="276" w:lineRule="auto"/>
        <w:jc w:val="both"/>
        <w:rPr>
          <w:rFonts w:ascii="Arial" w:hAnsi="Arial" w:cs="Arial"/>
          <w:b/>
          <w:iCs/>
          <w:color w:val="E36C0A" w:themeColor="accent6" w:themeShade="BF"/>
          <w:sz w:val="22"/>
          <w:szCs w:val="22"/>
          <w:lang w:val="pl-PL"/>
        </w:rPr>
      </w:pPr>
      <w:r w:rsidRPr="0085218B">
        <w:rPr>
          <w:rFonts w:ascii="Arial" w:hAnsi="Arial" w:cs="Arial"/>
          <w:b/>
          <w:iCs/>
          <w:color w:val="E36C0A" w:themeColor="accent6" w:themeShade="BF"/>
          <w:sz w:val="22"/>
          <w:szCs w:val="22"/>
          <w:lang w:val="pl-PL"/>
        </w:rPr>
        <w:t>Czy Polacy są zadowoleni ze swojego wykształcenia</w:t>
      </w:r>
    </w:p>
    <w:p w:rsidR="00390A6B" w:rsidRPr="0085218B" w:rsidRDefault="00390A6B" w:rsidP="00390A6B">
      <w:pPr>
        <w:spacing w:line="276" w:lineRule="auto"/>
        <w:jc w:val="both"/>
        <w:rPr>
          <w:rFonts w:ascii="Arial" w:hAnsi="Arial" w:cs="Arial"/>
          <w:b/>
          <w:iCs/>
          <w:color w:val="F79646" w:themeColor="accent6"/>
          <w:sz w:val="22"/>
          <w:szCs w:val="22"/>
          <w:lang w:val="pl-PL"/>
        </w:rPr>
      </w:pPr>
    </w:p>
    <w:p w:rsidR="00390A6B" w:rsidRPr="009A3D62" w:rsidRDefault="00C66AA8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Ś</w:t>
      </w:r>
      <w:r w:rsidR="00390A6B" w:rsidRPr="009A3D62">
        <w:rPr>
          <w:rFonts w:ascii="Arial" w:hAnsi="Arial" w:cs="Arial"/>
          <w:b/>
          <w:sz w:val="22"/>
          <w:szCs w:val="22"/>
          <w:lang w:val="pl-PL"/>
        </w:rPr>
        <w:t>rednio co czwarty dorosły Polak przyznaje się do posiadania niższego poziomu wykształcenia niż ten, który chciał</w:t>
      </w:r>
      <w:r w:rsidR="00CA582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90A6B" w:rsidRPr="009A3D62">
        <w:rPr>
          <w:rFonts w:ascii="Arial" w:hAnsi="Arial" w:cs="Arial"/>
          <w:b/>
          <w:sz w:val="22"/>
          <w:szCs w:val="22"/>
          <w:lang w:val="pl-PL"/>
        </w:rPr>
        <w:t>osiągnąć.</w:t>
      </w:r>
      <w:r w:rsidR="007158F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90A6B" w:rsidRPr="009A3D62">
        <w:rPr>
          <w:rFonts w:ascii="Arial" w:hAnsi="Arial" w:cs="Arial"/>
          <w:b/>
          <w:sz w:val="22"/>
          <w:szCs w:val="22"/>
          <w:lang w:val="pl-PL"/>
        </w:rPr>
        <w:t xml:space="preserve">Eksperci </w:t>
      </w:r>
      <w:r w:rsidR="009A3D62" w:rsidRPr="009A3D62">
        <w:rPr>
          <w:rFonts w:ascii="Arial" w:hAnsi="Arial" w:cs="Arial"/>
          <w:b/>
          <w:sz w:val="22"/>
          <w:szCs w:val="22"/>
          <w:lang w:val="pl-PL"/>
        </w:rPr>
        <w:t>sprawdzili</w:t>
      </w:r>
      <w:r w:rsidR="001D7A44">
        <w:rPr>
          <w:rFonts w:ascii="Arial" w:hAnsi="Arial" w:cs="Arial"/>
          <w:b/>
          <w:sz w:val="22"/>
          <w:szCs w:val="22"/>
          <w:lang w:val="pl-PL"/>
        </w:rPr>
        <w:t>,</w:t>
      </w:r>
      <w:r w:rsidR="00390A6B" w:rsidRPr="009A3D62">
        <w:rPr>
          <w:rFonts w:ascii="Arial" w:hAnsi="Arial" w:cs="Arial"/>
          <w:b/>
          <w:sz w:val="22"/>
          <w:szCs w:val="22"/>
          <w:lang w:val="pl-PL"/>
        </w:rPr>
        <w:t xml:space="preserve"> co wpływa na edukacyjne decyzje naszego społeczeństwa</w:t>
      </w:r>
      <w:r w:rsidR="007158F7">
        <w:rPr>
          <w:rFonts w:ascii="Arial" w:hAnsi="Arial" w:cs="Arial"/>
          <w:b/>
          <w:sz w:val="22"/>
          <w:szCs w:val="22"/>
          <w:lang w:val="pl-PL"/>
        </w:rPr>
        <w:t>, jakie grupy są zagrożone wykluczeniem edukacyjnym i jak powiązana jest edukacja z rynkiem pracy</w:t>
      </w: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90A6B" w:rsidRPr="009A3D62" w:rsidRDefault="001D7A44" w:rsidP="00390A6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A3D62">
        <w:rPr>
          <w:rFonts w:ascii="Arial" w:hAnsi="Arial" w:cs="Arial"/>
          <w:sz w:val="22"/>
          <w:szCs w:val="22"/>
          <w:lang w:val="pl-PL"/>
        </w:rPr>
        <w:t xml:space="preserve">Badanie </w:t>
      </w:r>
      <w:r>
        <w:rPr>
          <w:rFonts w:ascii="Arial" w:hAnsi="Arial" w:cs="Arial"/>
          <w:sz w:val="22"/>
          <w:szCs w:val="22"/>
          <w:lang w:val="pl-PL"/>
        </w:rPr>
        <w:t>„</w:t>
      </w:r>
      <w:r w:rsidRPr="009A3D62">
        <w:rPr>
          <w:rFonts w:ascii="Arial" w:hAnsi="Arial" w:cs="Arial"/>
          <w:sz w:val="22"/>
          <w:szCs w:val="22"/>
          <w:lang w:val="pl-PL"/>
        </w:rPr>
        <w:t xml:space="preserve">Uwarunkowania </w:t>
      </w:r>
      <w:r>
        <w:rPr>
          <w:rFonts w:ascii="Arial" w:hAnsi="Arial" w:cs="Arial"/>
          <w:sz w:val="22"/>
          <w:szCs w:val="22"/>
          <w:lang w:val="pl-PL"/>
        </w:rPr>
        <w:t>decyzji e</w:t>
      </w:r>
      <w:r w:rsidRPr="009A3D62">
        <w:rPr>
          <w:rFonts w:ascii="Arial" w:hAnsi="Arial" w:cs="Arial"/>
          <w:sz w:val="22"/>
          <w:szCs w:val="22"/>
          <w:lang w:val="pl-PL"/>
        </w:rPr>
        <w:t>dukacyjnych</w:t>
      </w:r>
      <w:r>
        <w:rPr>
          <w:rFonts w:ascii="Arial" w:hAnsi="Arial" w:cs="Arial"/>
          <w:sz w:val="22"/>
          <w:szCs w:val="22"/>
          <w:lang w:val="pl-PL"/>
        </w:rPr>
        <w:t>”</w:t>
      </w:r>
      <w:r w:rsidRPr="009A3D62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9A3D62">
        <w:rPr>
          <w:rFonts w:ascii="Arial" w:hAnsi="Arial" w:cs="Arial"/>
          <w:sz w:val="22"/>
          <w:szCs w:val="22"/>
          <w:lang w:val="pl-PL"/>
        </w:rPr>
        <w:t>realizowane zostało przez Instytut Badań Edukacyjnych we współpracy z Instytutem Statystyki i Demografii Szkoły Głównej Handlowej w Warszawie</w:t>
      </w:r>
      <w:r>
        <w:rPr>
          <w:rFonts w:ascii="Arial" w:hAnsi="Arial" w:cs="Arial"/>
          <w:sz w:val="22"/>
          <w:szCs w:val="22"/>
          <w:lang w:val="pl-PL"/>
        </w:rPr>
        <w:t>. To pierwszy tak duży projekt, który sprawdza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, jak </w:t>
      </w:r>
      <w:r>
        <w:rPr>
          <w:rFonts w:ascii="Arial" w:hAnsi="Arial" w:cs="Arial"/>
          <w:sz w:val="22"/>
          <w:szCs w:val="22"/>
          <w:lang w:val="pl-PL"/>
        </w:rPr>
        <w:t xml:space="preserve">Polacy rozwijają swoje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umiejętności i kompetencje w </w:t>
      </w:r>
      <w:r w:rsidR="00C66AA8">
        <w:rPr>
          <w:rFonts w:ascii="Arial" w:hAnsi="Arial" w:cs="Arial"/>
          <w:sz w:val="22"/>
          <w:szCs w:val="22"/>
          <w:lang w:val="pl-PL"/>
        </w:rPr>
        <w:t>trakcie</w:t>
      </w:r>
      <w:r w:rsidR="00C66AA8" w:rsidRPr="009A3D62">
        <w:rPr>
          <w:rFonts w:ascii="Arial" w:hAnsi="Arial" w:cs="Arial"/>
          <w:sz w:val="22"/>
          <w:szCs w:val="22"/>
          <w:lang w:val="pl-PL"/>
        </w:rPr>
        <w:t xml:space="preserve">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życia </w:t>
      </w:r>
      <w:r w:rsidR="00C66AA8">
        <w:rPr>
          <w:rFonts w:ascii="Arial" w:hAnsi="Arial" w:cs="Arial"/>
          <w:sz w:val="22"/>
          <w:szCs w:val="22"/>
          <w:lang w:val="pl-PL"/>
        </w:rPr>
        <w:t xml:space="preserve">i jaki </w:t>
      </w:r>
      <w:r>
        <w:rPr>
          <w:rFonts w:ascii="Arial" w:hAnsi="Arial" w:cs="Arial"/>
          <w:sz w:val="22"/>
          <w:szCs w:val="22"/>
          <w:lang w:val="pl-PL"/>
        </w:rPr>
        <w:t xml:space="preserve">jest wpływ otoczenia rodzinnego na </w:t>
      </w:r>
      <w:r w:rsidR="009C1DD4">
        <w:rPr>
          <w:rFonts w:ascii="Arial" w:hAnsi="Arial" w:cs="Arial"/>
          <w:sz w:val="22"/>
          <w:szCs w:val="22"/>
          <w:lang w:val="pl-PL"/>
        </w:rPr>
        <w:t xml:space="preserve">ich </w:t>
      </w:r>
      <w:r>
        <w:rPr>
          <w:rFonts w:ascii="Arial" w:hAnsi="Arial" w:cs="Arial"/>
          <w:sz w:val="22"/>
          <w:szCs w:val="22"/>
          <w:lang w:val="pl-PL"/>
        </w:rPr>
        <w:t xml:space="preserve">decyzje w tym obszarze.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W ramach drugiej rundy badania, której wyniki właśnie ogłoszono, </w:t>
      </w:r>
      <w:r w:rsidR="00390A6B" w:rsidRPr="009A3D62">
        <w:rPr>
          <w:rFonts w:ascii="Arial" w:eastAsia="Calibri" w:hAnsi="Arial" w:cs="Arial"/>
          <w:sz w:val="22"/>
          <w:szCs w:val="22"/>
          <w:lang w:val="pl-PL"/>
        </w:rPr>
        <w:t xml:space="preserve">zrealizowano </w:t>
      </w:r>
      <w:r w:rsidR="006F7430" w:rsidRPr="006F7430">
        <w:rPr>
          <w:rFonts w:ascii="Arial" w:eastAsia="Calibri" w:hAnsi="Arial" w:cs="Arial"/>
          <w:sz w:val="22"/>
          <w:szCs w:val="22"/>
          <w:lang w:val="pl-PL"/>
        </w:rPr>
        <w:t>w drugiej połowie 2014 r.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390A6B" w:rsidRPr="009A3D62">
        <w:rPr>
          <w:rFonts w:ascii="Arial" w:eastAsia="Calibri" w:hAnsi="Arial" w:cs="Arial"/>
          <w:sz w:val="22"/>
          <w:szCs w:val="22"/>
          <w:lang w:val="pl-PL"/>
        </w:rPr>
        <w:t>łącznie w próbie przekrojowej aż 33 402 wywi</w:t>
      </w:r>
      <w:r w:rsidR="00F92CCE" w:rsidRPr="009A3D62">
        <w:rPr>
          <w:rFonts w:ascii="Arial" w:eastAsia="Calibri" w:hAnsi="Arial" w:cs="Arial"/>
          <w:sz w:val="22"/>
          <w:szCs w:val="22"/>
          <w:lang w:val="pl-PL"/>
        </w:rPr>
        <w:t>adów w gosp</w:t>
      </w:r>
      <w:r w:rsidR="00E82AA5">
        <w:rPr>
          <w:rFonts w:ascii="Arial" w:eastAsia="Calibri" w:hAnsi="Arial" w:cs="Arial"/>
          <w:sz w:val="22"/>
          <w:szCs w:val="22"/>
          <w:lang w:val="pl-PL"/>
        </w:rPr>
        <w:t xml:space="preserve">odarstwach domowych, w tym </w:t>
      </w:r>
      <w:r w:rsidR="009A3D62">
        <w:rPr>
          <w:rFonts w:ascii="Arial" w:eastAsia="Calibri" w:hAnsi="Arial" w:cs="Arial"/>
          <w:sz w:val="22"/>
          <w:szCs w:val="22"/>
          <w:lang w:val="pl-PL"/>
        </w:rPr>
        <w:t xml:space="preserve">29 </w:t>
      </w:r>
      <w:r w:rsidR="00F92CCE" w:rsidRPr="009A3D62">
        <w:rPr>
          <w:rFonts w:ascii="Arial" w:eastAsia="Calibri" w:hAnsi="Arial" w:cs="Arial"/>
          <w:sz w:val="22"/>
          <w:szCs w:val="22"/>
          <w:lang w:val="pl-PL"/>
        </w:rPr>
        <w:t xml:space="preserve">213 </w:t>
      </w:r>
      <w:r w:rsidR="006F7430">
        <w:rPr>
          <w:rFonts w:ascii="Arial" w:eastAsia="Calibri" w:hAnsi="Arial" w:cs="Arial"/>
          <w:sz w:val="22"/>
          <w:szCs w:val="22"/>
          <w:lang w:val="pl-PL"/>
        </w:rPr>
        <w:t>gospodarstw</w:t>
      </w:r>
      <w:r w:rsidR="006F7430" w:rsidRPr="009A3D62">
        <w:rPr>
          <w:rFonts w:ascii="Arial" w:eastAsia="Calibri" w:hAnsi="Arial" w:cs="Arial"/>
          <w:sz w:val="22"/>
          <w:szCs w:val="22"/>
        </w:rPr>
        <w:t xml:space="preserve"> </w:t>
      </w:r>
      <w:r w:rsidR="00F92CCE" w:rsidRPr="009A3D62">
        <w:rPr>
          <w:rFonts w:ascii="Arial" w:eastAsia="Calibri" w:hAnsi="Arial" w:cs="Arial"/>
          <w:sz w:val="22"/>
          <w:szCs w:val="22"/>
        </w:rPr>
        <w:t>przebadanych w pierwszej rundzie projektu</w:t>
      </w:r>
      <w:r>
        <w:rPr>
          <w:rFonts w:ascii="Arial" w:eastAsia="Calibri" w:hAnsi="Arial" w:cs="Arial"/>
          <w:sz w:val="22"/>
          <w:szCs w:val="22"/>
        </w:rPr>
        <w:t xml:space="preserve"> (jej wyniki</w:t>
      </w:r>
      <w:r w:rsidRPr="009A3D62">
        <w:rPr>
          <w:rFonts w:ascii="Arial" w:eastAsia="Calibri" w:hAnsi="Arial" w:cs="Arial"/>
          <w:sz w:val="22"/>
          <w:szCs w:val="22"/>
        </w:rPr>
        <w:t xml:space="preserve"> </w:t>
      </w:r>
      <w:r w:rsidR="00F92CCE" w:rsidRPr="009A3D62">
        <w:rPr>
          <w:rFonts w:ascii="Arial" w:eastAsia="Calibri" w:hAnsi="Arial" w:cs="Arial"/>
          <w:sz w:val="22"/>
          <w:szCs w:val="22"/>
        </w:rPr>
        <w:t>przedstawione zostały w czerwcu 2014 roku</w:t>
      </w:r>
      <w:r>
        <w:rPr>
          <w:rFonts w:ascii="Arial" w:eastAsia="Calibri" w:hAnsi="Arial" w:cs="Arial"/>
          <w:sz w:val="22"/>
          <w:szCs w:val="22"/>
        </w:rPr>
        <w:t>)</w:t>
      </w:r>
      <w:r w:rsidR="00F92CCE" w:rsidRPr="009A3D62">
        <w:rPr>
          <w:rFonts w:ascii="Arial" w:eastAsia="Calibri" w:hAnsi="Arial" w:cs="Arial"/>
          <w:sz w:val="22"/>
          <w:szCs w:val="22"/>
        </w:rPr>
        <w:t>.</w:t>
      </w:r>
    </w:p>
    <w:p w:rsidR="00602E38" w:rsidRPr="009A3D62" w:rsidRDefault="00602E38" w:rsidP="00390A6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90A6B" w:rsidRPr="009A3D62" w:rsidRDefault="001D7A44" w:rsidP="00390A6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Kim jestem</w:t>
      </w:r>
      <w:r w:rsidR="009C1DD4"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b/>
          <w:sz w:val="22"/>
          <w:szCs w:val="22"/>
          <w:lang w:val="pl-PL"/>
        </w:rPr>
        <w:t xml:space="preserve"> a kim chciałbym być</w:t>
      </w: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602E38" w:rsidRDefault="00390A6B" w:rsidP="00390A6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A3D62">
        <w:rPr>
          <w:rFonts w:ascii="Arial" w:hAnsi="Arial" w:cs="Arial"/>
          <w:sz w:val="22"/>
          <w:szCs w:val="22"/>
          <w:lang w:val="pl-PL"/>
        </w:rPr>
        <w:t xml:space="preserve">Ryzyko występowania </w:t>
      </w:r>
      <w:r w:rsidR="00C66AA8">
        <w:rPr>
          <w:rFonts w:ascii="Arial" w:hAnsi="Arial" w:cs="Arial"/>
          <w:sz w:val="22"/>
          <w:szCs w:val="22"/>
          <w:lang w:val="pl-PL"/>
        </w:rPr>
        <w:t xml:space="preserve">tzw. </w:t>
      </w:r>
      <w:r w:rsidRPr="009A3D62">
        <w:rPr>
          <w:rFonts w:ascii="Arial" w:hAnsi="Arial" w:cs="Arial"/>
          <w:sz w:val="22"/>
          <w:szCs w:val="22"/>
          <w:lang w:val="pl-PL"/>
        </w:rPr>
        <w:t>subiektywnej luki edukacyjnej</w:t>
      </w:r>
      <w:r w:rsidR="00C66AA8">
        <w:rPr>
          <w:rFonts w:ascii="Arial" w:hAnsi="Arial" w:cs="Arial"/>
          <w:sz w:val="22"/>
          <w:szCs w:val="22"/>
          <w:lang w:val="pl-PL"/>
        </w:rPr>
        <w:t>, czyli poczucia, że posiadane wykształcenie jest niższe od pożądanego,</w:t>
      </w:r>
      <w:r w:rsidRPr="009A3D62">
        <w:rPr>
          <w:rFonts w:ascii="Arial" w:hAnsi="Arial" w:cs="Arial"/>
          <w:sz w:val="22"/>
          <w:szCs w:val="22"/>
          <w:lang w:val="pl-PL"/>
        </w:rPr>
        <w:t xml:space="preserve"> różni się w zależności od wykształcenia, płci, wieku respondentów oraz miejsca zamieszkania. Kobiety częściej </w:t>
      </w:r>
      <w:r w:rsidR="001D7A44">
        <w:rPr>
          <w:rFonts w:ascii="Arial" w:hAnsi="Arial" w:cs="Arial"/>
          <w:sz w:val="22"/>
          <w:szCs w:val="22"/>
          <w:lang w:val="pl-PL"/>
        </w:rPr>
        <w:t>są</w:t>
      </w:r>
      <w:r w:rsidR="001D7A44" w:rsidRPr="009A3D62">
        <w:rPr>
          <w:rFonts w:ascii="Arial" w:hAnsi="Arial" w:cs="Arial"/>
          <w:sz w:val="22"/>
          <w:szCs w:val="22"/>
          <w:lang w:val="pl-PL"/>
        </w:rPr>
        <w:t xml:space="preserve"> </w:t>
      </w:r>
      <w:r w:rsidRPr="009A3D62">
        <w:rPr>
          <w:rFonts w:ascii="Arial" w:hAnsi="Arial" w:cs="Arial"/>
          <w:sz w:val="22"/>
          <w:szCs w:val="22"/>
          <w:lang w:val="pl-PL"/>
        </w:rPr>
        <w:t>niezadowol</w:t>
      </w:r>
      <w:r w:rsidR="001D7A44">
        <w:rPr>
          <w:rFonts w:ascii="Arial" w:hAnsi="Arial" w:cs="Arial"/>
          <w:sz w:val="22"/>
          <w:szCs w:val="22"/>
          <w:lang w:val="pl-PL"/>
        </w:rPr>
        <w:t>one</w:t>
      </w:r>
      <w:r w:rsidR="00E82AA5">
        <w:rPr>
          <w:rFonts w:ascii="Arial" w:hAnsi="Arial" w:cs="Arial"/>
          <w:sz w:val="22"/>
          <w:szCs w:val="22"/>
          <w:lang w:val="pl-PL"/>
        </w:rPr>
        <w:br/>
      </w:r>
      <w:r w:rsidRPr="009A3D62">
        <w:rPr>
          <w:rFonts w:ascii="Arial" w:hAnsi="Arial" w:cs="Arial"/>
          <w:sz w:val="22"/>
          <w:szCs w:val="22"/>
          <w:lang w:val="pl-PL"/>
        </w:rPr>
        <w:t>z</w:t>
      </w:r>
      <w:r w:rsidR="001D7A44">
        <w:rPr>
          <w:rFonts w:ascii="Arial" w:hAnsi="Arial" w:cs="Arial"/>
          <w:sz w:val="22"/>
          <w:szCs w:val="22"/>
          <w:lang w:val="pl-PL"/>
        </w:rPr>
        <w:t xml:space="preserve">e swojego </w:t>
      </w:r>
      <w:r w:rsidRPr="009A3D62">
        <w:rPr>
          <w:rFonts w:ascii="Arial" w:hAnsi="Arial" w:cs="Arial"/>
          <w:sz w:val="22"/>
          <w:szCs w:val="22"/>
          <w:lang w:val="pl-PL"/>
        </w:rPr>
        <w:t>wykształcenia niż mężczyźni; młods</w:t>
      </w:r>
      <w:r w:rsidR="009C1DD4">
        <w:rPr>
          <w:rFonts w:ascii="Arial" w:hAnsi="Arial" w:cs="Arial"/>
          <w:sz w:val="22"/>
          <w:szCs w:val="22"/>
          <w:lang w:val="pl-PL"/>
        </w:rPr>
        <w:t xml:space="preserve">i częściej niż </w:t>
      </w:r>
      <w:r w:rsidRPr="009A3D62">
        <w:rPr>
          <w:rFonts w:ascii="Arial" w:hAnsi="Arial" w:cs="Arial"/>
          <w:sz w:val="22"/>
          <w:szCs w:val="22"/>
          <w:lang w:val="pl-PL"/>
        </w:rPr>
        <w:t>stars</w:t>
      </w:r>
      <w:r w:rsidR="009C1DD4">
        <w:rPr>
          <w:rFonts w:ascii="Arial" w:hAnsi="Arial" w:cs="Arial"/>
          <w:sz w:val="22"/>
          <w:szCs w:val="22"/>
          <w:lang w:val="pl-PL"/>
        </w:rPr>
        <w:t xml:space="preserve">i, mieszkańcy miast </w:t>
      </w:r>
      <w:r w:rsidRPr="009A3D62">
        <w:rPr>
          <w:rFonts w:ascii="Arial" w:hAnsi="Arial" w:cs="Arial"/>
          <w:sz w:val="22"/>
          <w:szCs w:val="22"/>
          <w:lang w:val="pl-PL"/>
        </w:rPr>
        <w:t xml:space="preserve"> </w:t>
      </w:r>
      <w:r w:rsidR="003B5686">
        <w:rPr>
          <w:rFonts w:ascii="Arial" w:hAnsi="Arial" w:cs="Arial"/>
          <w:sz w:val="22"/>
          <w:szCs w:val="22"/>
          <w:lang w:val="pl-PL"/>
        </w:rPr>
        <w:t xml:space="preserve">częściej niż </w:t>
      </w:r>
      <w:r w:rsidR="009C1DD4">
        <w:rPr>
          <w:rFonts w:ascii="Arial" w:hAnsi="Arial" w:cs="Arial"/>
          <w:sz w:val="22"/>
          <w:szCs w:val="22"/>
          <w:lang w:val="pl-PL"/>
        </w:rPr>
        <w:t xml:space="preserve">mieszkający </w:t>
      </w:r>
      <w:r w:rsidR="003B5686">
        <w:rPr>
          <w:rFonts w:ascii="Arial" w:hAnsi="Arial" w:cs="Arial"/>
          <w:sz w:val="22"/>
          <w:szCs w:val="22"/>
          <w:lang w:val="pl-PL"/>
        </w:rPr>
        <w:t xml:space="preserve">na wsi. </w:t>
      </w:r>
      <w:r w:rsidR="009C1DD4">
        <w:rPr>
          <w:rFonts w:ascii="Arial" w:hAnsi="Arial" w:cs="Arial"/>
          <w:sz w:val="22"/>
          <w:szCs w:val="22"/>
          <w:lang w:val="pl-PL"/>
        </w:rPr>
        <w:t xml:space="preserve">Co ciekawe, </w:t>
      </w:r>
      <w:r w:rsidR="003B5686">
        <w:rPr>
          <w:rFonts w:ascii="Arial" w:hAnsi="Arial" w:cs="Arial"/>
          <w:sz w:val="22"/>
          <w:szCs w:val="22"/>
          <w:lang w:val="pl-PL"/>
        </w:rPr>
        <w:t xml:space="preserve">nie zaobserwowano zależności, że im większe miasto, tym rzadziej ludzie są niezadowoleni z tego, co osiągnęli w dziedzinie edukacji. </w:t>
      </w:r>
    </w:p>
    <w:p w:rsidR="00602E38" w:rsidRDefault="00E82AA5" w:rsidP="00390A6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–</w:t>
      </w:r>
      <w:r w:rsidR="00602E38">
        <w:rPr>
          <w:rFonts w:ascii="Arial" w:hAnsi="Arial" w:cs="Arial"/>
          <w:sz w:val="22"/>
          <w:szCs w:val="22"/>
          <w:lang w:val="pl-PL"/>
        </w:rPr>
        <w:t xml:space="preserve"> </w:t>
      </w:r>
      <w:r w:rsidR="00390A6B" w:rsidRPr="009A3D62">
        <w:rPr>
          <w:rFonts w:ascii="Arial" w:hAnsi="Arial" w:cs="Arial"/>
          <w:sz w:val="22"/>
          <w:szCs w:val="22"/>
          <w:lang w:val="pl-PL"/>
        </w:rPr>
        <w:t>Te zależności sygnaliz</w:t>
      </w:r>
      <w:r w:rsidR="0093393F">
        <w:rPr>
          <w:rFonts w:ascii="Arial" w:hAnsi="Arial" w:cs="Arial"/>
          <w:sz w:val="22"/>
          <w:szCs w:val="22"/>
          <w:lang w:val="pl-PL"/>
        </w:rPr>
        <w:t>ują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 znaczenie aspiracji </w:t>
      </w:r>
      <w:r w:rsidR="00115014">
        <w:rPr>
          <w:rFonts w:ascii="Arial" w:hAnsi="Arial" w:cs="Arial"/>
          <w:sz w:val="22"/>
          <w:szCs w:val="22"/>
          <w:lang w:val="pl-PL"/>
        </w:rPr>
        <w:t xml:space="preserve">edukacyjnych </w:t>
      </w:r>
      <w:r w:rsidR="004E2C26">
        <w:rPr>
          <w:rFonts w:ascii="Arial" w:hAnsi="Arial" w:cs="Arial"/>
          <w:sz w:val="22"/>
          <w:szCs w:val="22"/>
          <w:lang w:val="pl-PL"/>
        </w:rPr>
        <w:t xml:space="preserve">Polaków </w:t>
      </w:r>
      <w:r w:rsidR="00115014">
        <w:rPr>
          <w:rFonts w:ascii="Arial" w:hAnsi="Arial" w:cs="Arial"/>
          <w:sz w:val="22"/>
          <w:szCs w:val="22"/>
          <w:lang w:val="pl-PL"/>
        </w:rPr>
        <w:t xml:space="preserve">dla poczucia satysfakcji z osiągniętego </w:t>
      </w:r>
      <w:r w:rsidR="0093393F">
        <w:rPr>
          <w:rFonts w:ascii="Arial" w:hAnsi="Arial" w:cs="Arial"/>
          <w:sz w:val="22"/>
          <w:szCs w:val="22"/>
          <w:lang w:val="pl-PL"/>
        </w:rPr>
        <w:t>wykształceni</w:t>
      </w:r>
      <w:r w:rsidR="00115014">
        <w:rPr>
          <w:rFonts w:ascii="Arial" w:hAnsi="Arial" w:cs="Arial"/>
          <w:sz w:val="22"/>
          <w:szCs w:val="22"/>
          <w:lang w:val="pl-PL"/>
        </w:rPr>
        <w:t>a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, </w:t>
      </w:r>
      <w:r w:rsidR="00CA582B">
        <w:rPr>
          <w:rFonts w:ascii="Arial" w:hAnsi="Arial" w:cs="Arial"/>
          <w:sz w:val="22"/>
          <w:szCs w:val="22"/>
          <w:lang w:val="pl-PL"/>
        </w:rPr>
        <w:t xml:space="preserve">ponieważ </w:t>
      </w:r>
      <w:r w:rsidR="00390A6B" w:rsidRPr="009A3D62">
        <w:rPr>
          <w:rFonts w:ascii="Arial" w:hAnsi="Arial" w:cs="Arial"/>
          <w:sz w:val="22"/>
          <w:szCs w:val="22"/>
          <w:lang w:val="pl-PL"/>
        </w:rPr>
        <w:t>zar</w:t>
      </w:r>
      <w:r w:rsidR="004E2C26">
        <w:rPr>
          <w:rFonts w:ascii="Arial" w:hAnsi="Arial" w:cs="Arial"/>
          <w:sz w:val="22"/>
          <w:szCs w:val="22"/>
          <w:lang w:val="pl-PL"/>
        </w:rPr>
        <w:t xml:space="preserve">ówno kobiety, </w:t>
      </w:r>
      <w:r w:rsidR="00390A6B" w:rsidRPr="009A3D62">
        <w:rPr>
          <w:rFonts w:ascii="Arial" w:hAnsi="Arial" w:cs="Arial"/>
          <w:sz w:val="22"/>
          <w:szCs w:val="22"/>
          <w:lang w:val="pl-PL"/>
        </w:rPr>
        <w:t>jak i osoby młodsze czy mieszkańcy miast</w:t>
      </w:r>
      <w:r w:rsidR="000C06C2">
        <w:rPr>
          <w:rFonts w:ascii="Arial" w:hAnsi="Arial" w:cs="Arial"/>
          <w:sz w:val="22"/>
          <w:szCs w:val="22"/>
          <w:lang w:val="pl-PL"/>
        </w:rPr>
        <w:t>,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 charakteryzują się </w:t>
      </w:r>
      <w:r w:rsidR="004E2C26">
        <w:rPr>
          <w:rFonts w:ascii="Arial" w:hAnsi="Arial" w:cs="Arial"/>
          <w:sz w:val="22"/>
          <w:szCs w:val="22"/>
          <w:lang w:val="pl-PL"/>
        </w:rPr>
        <w:t>stosunkowo lepsz</w:t>
      </w:r>
      <w:r w:rsidR="0093393F">
        <w:rPr>
          <w:rFonts w:ascii="Arial" w:hAnsi="Arial" w:cs="Arial"/>
          <w:sz w:val="22"/>
          <w:szCs w:val="22"/>
          <w:lang w:val="pl-PL"/>
        </w:rPr>
        <w:t>ym</w:t>
      </w:r>
      <w:r w:rsidR="004E2C26">
        <w:rPr>
          <w:rFonts w:ascii="Arial" w:hAnsi="Arial" w:cs="Arial"/>
          <w:sz w:val="22"/>
          <w:szCs w:val="22"/>
          <w:lang w:val="pl-PL"/>
        </w:rPr>
        <w:t xml:space="preserve"> wykształceni</w:t>
      </w:r>
      <w:r w:rsidR="0093393F">
        <w:rPr>
          <w:rFonts w:ascii="Arial" w:hAnsi="Arial" w:cs="Arial"/>
          <w:sz w:val="22"/>
          <w:szCs w:val="22"/>
          <w:lang w:val="pl-PL"/>
        </w:rPr>
        <w:t>em</w:t>
      </w:r>
      <w:r w:rsidR="004E2C26">
        <w:rPr>
          <w:rFonts w:ascii="Arial" w:hAnsi="Arial" w:cs="Arial"/>
          <w:sz w:val="22"/>
          <w:szCs w:val="22"/>
          <w:lang w:val="pl-PL"/>
        </w:rPr>
        <w:t xml:space="preserve"> niż mężczyźni, osoby starsze, mieszkańcy wsi </w:t>
      </w:r>
      <w:r w:rsidR="00323B21">
        <w:rPr>
          <w:rFonts w:ascii="Arial" w:hAnsi="Arial" w:cs="Arial"/>
          <w:sz w:val="22"/>
          <w:szCs w:val="22"/>
          <w:lang w:val="pl-PL"/>
        </w:rPr>
        <w:t>–</w:t>
      </w:r>
      <w:r w:rsidR="004E2C26">
        <w:rPr>
          <w:rFonts w:ascii="Arial" w:hAnsi="Arial" w:cs="Arial"/>
          <w:sz w:val="22"/>
          <w:szCs w:val="22"/>
          <w:lang w:val="pl-PL"/>
        </w:rPr>
        <w:t xml:space="preserve"> podkreśla</w:t>
      </w:r>
      <w:r w:rsidR="00EC7C06">
        <w:rPr>
          <w:rFonts w:ascii="Arial" w:hAnsi="Arial" w:cs="Arial"/>
          <w:sz w:val="22"/>
          <w:szCs w:val="22"/>
          <w:lang w:val="pl-PL"/>
        </w:rPr>
        <w:t xml:space="preserve"> </w:t>
      </w:r>
      <w:r w:rsidR="00761139">
        <w:rPr>
          <w:rFonts w:ascii="Arial" w:hAnsi="Arial" w:cs="Arial"/>
          <w:sz w:val="22"/>
          <w:szCs w:val="22"/>
          <w:lang w:val="pl-PL"/>
        </w:rPr>
        <w:t>prof. Irena E. Kotowska</w:t>
      </w:r>
      <w:r w:rsidR="004E2C26">
        <w:rPr>
          <w:rFonts w:ascii="Arial" w:hAnsi="Arial" w:cs="Arial"/>
          <w:sz w:val="22"/>
          <w:szCs w:val="22"/>
          <w:lang w:val="pl-PL"/>
        </w:rPr>
        <w:t>, współautorka</w:t>
      </w:r>
      <w:r w:rsidR="0093393F">
        <w:rPr>
          <w:rFonts w:ascii="Arial" w:hAnsi="Arial" w:cs="Arial"/>
          <w:sz w:val="22"/>
          <w:szCs w:val="22"/>
          <w:lang w:val="pl-PL"/>
        </w:rPr>
        <w:t xml:space="preserve"> raportu z</w:t>
      </w:r>
      <w:r w:rsidR="004E2C26">
        <w:rPr>
          <w:rFonts w:ascii="Arial" w:hAnsi="Arial" w:cs="Arial"/>
          <w:sz w:val="22"/>
          <w:szCs w:val="22"/>
          <w:lang w:val="pl-PL"/>
        </w:rPr>
        <w:t xml:space="preserve"> badania.</w:t>
      </w: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234E9" w:rsidRPr="009A3D62" w:rsidRDefault="006234E9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>Sy</w:t>
      </w:r>
      <w:r w:rsidR="00807CC1"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>tuacja społeczno-ekonomiczna i miejsce zamieszkania</w:t>
      </w:r>
    </w:p>
    <w:p w:rsidR="006234E9" w:rsidRPr="009A3D62" w:rsidRDefault="006234E9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9C1DD4" w:rsidRDefault="009C1DD4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Ro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zw</w:t>
      </w:r>
      <w:r>
        <w:rPr>
          <w:rFonts w:ascii="Arial" w:hAnsi="Arial" w:cs="Arial"/>
          <w:color w:val="000000"/>
          <w:sz w:val="22"/>
          <w:szCs w:val="22"/>
          <w:lang w:val="pl-PL"/>
        </w:rPr>
        <w:t>ój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kompetencji</w:t>
      </w:r>
      <w:r w:rsidR="0093393F">
        <w:rPr>
          <w:rFonts w:ascii="Arial" w:hAnsi="Arial" w:cs="Arial"/>
          <w:color w:val="000000"/>
          <w:sz w:val="22"/>
          <w:szCs w:val="22"/>
          <w:lang w:val="pl-PL"/>
        </w:rPr>
        <w:t xml:space="preserve"> poszczególnych osób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jest zróżnicowany nie tylko </w:t>
      </w:r>
      <w:r w:rsidR="0093393F">
        <w:rPr>
          <w:rFonts w:ascii="Arial" w:hAnsi="Arial" w:cs="Arial"/>
          <w:color w:val="000000"/>
          <w:sz w:val="22"/>
          <w:szCs w:val="22"/>
          <w:lang w:val="pl-PL"/>
        </w:rPr>
        <w:t>ze względu na przynależność do</w:t>
      </w:r>
      <w:r w:rsidR="0093393F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grup</w:t>
      </w:r>
      <w:r w:rsidR="0093393F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społeczno-ekonomiczn</w:t>
      </w:r>
      <w:r w:rsidR="0093393F">
        <w:rPr>
          <w:rFonts w:ascii="Arial" w:hAnsi="Arial" w:cs="Arial"/>
          <w:color w:val="000000"/>
          <w:sz w:val="22"/>
          <w:szCs w:val="22"/>
          <w:lang w:val="pl-PL"/>
        </w:rPr>
        <w:t>ej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, ale przede wszystkim </w:t>
      </w:r>
      <w:r w:rsidR="00BA4E20">
        <w:rPr>
          <w:rFonts w:ascii="Arial" w:hAnsi="Arial" w:cs="Arial"/>
          <w:color w:val="000000"/>
          <w:sz w:val="22"/>
          <w:szCs w:val="22"/>
          <w:lang w:val="pl-PL"/>
        </w:rPr>
        <w:t xml:space="preserve">ze względu na </w:t>
      </w:r>
      <w:r w:rsidR="00761139">
        <w:rPr>
          <w:rFonts w:ascii="Arial" w:hAnsi="Arial" w:cs="Arial"/>
          <w:color w:val="000000"/>
          <w:sz w:val="22"/>
          <w:szCs w:val="22"/>
          <w:lang w:val="pl-PL"/>
        </w:rPr>
        <w:t xml:space="preserve">miejsce zamieszkania. </w:t>
      </w:r>
    </w:p>
    <w:p w:rsidR="006234E9" w:rsidRPr="009A3D62" w:rsidRDefault="006234E9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color w:val="000000"/>
          <w:sz w:val="22"/>
          <w:szCs w:val="22"/>
          <w:lang w:val="pl-PL"/>
        </w:rPr>
        <w:t>Wyższy poziom wykształcenia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, status na rynku pracy czy zasobność gospodarstwa domowego wpływają zarówno na inwestowanie w</w:t>
      </w:r>
      <w:r w:rsidR="009C1DD4">
        <w:rPr>
          <w:rFonts w:ascii="Arial" w:hAnsi="Arial" w:cs="Arial"/>
          <w:color w:val="000000"/>
          <w:sz w:val="22"/>
          <w:szCs w:val="22"/>
          <w:lang w:val="pl-PL"/>
        </w:rPr>
        <w:t xml:space="preserve">e własny 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rozwój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, jak i </w:t>
      </w:r>
      <w:r w:rsidR="009C1DD4">
        <w:rPr>
          <w:rFonts w:ascii="Arial" w:hAnsi="Arial" w:cs="Arial"/>
          <w:color w:val="000000"/>
          <w:sz w:val="22"/>
          <w:szCs w:val="22"/>
          <w:lang w:val="pl-PL"/>
        </w:rPr>
        <w:t xml:space="preserve">w </w:t>
      </w:r>
      <w:r w:rsidR="009C1DD4" w:rsidRPr="009A3D62">
        <w:rPr>
          <w:rFonts w:ascii="Arial" w:hAnsi="Arial" w:cs="Arial"/>
          <w:color w:val="000000"/>
          <w:sz w:val="22"/>
          <w:szCs w:val="22"/>
          <w:lang w:val="pl-PL"/>
        </w:rPr>
        <w:t>kompetencj</w:t>
      </w:r>
      <w:r w:rsidR="009C1DD4">
        <w:rPr>
          <w:rFonts w:ascii="Arial" w:hAnsi="Arial" w:cs="Arial"/>
          <w:color w:val="000000"/>
          <w:sz w:val="22"/>
          <w:szCs w:val="22"/>
          <w:lang w:val="pl-PL"/>
        </w:rPr>
        <w:t xml:space="preserve">e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dzieci.</w:t>
      </w:r>
      <w:r w:rsidR="009C1DD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390A6B" w:rsidRPr="009A3D62" w:rsidRDefault="00761139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Dodatkowo dostępność instytucji związanych z edukacją rośne wraz z </w:t>
      </w:r>
      <w:r w:rsidR="000E1445" w:rsidRPr="001F5487">
        <w:rPr>
          <w:rFonts w:ascii="Arial" w:hAnsi="Arial" w:cs="Arial"/>
          <w:color w:val="000000"/>
          <w:sz w:val="22"/>
          <w:szCs w:val="22"/>
          <w:lang w:val="pl-PL"/>
        </w:rPr>
        <w:t>wielkością</w:t>
      </w:r>
      <w:r w:rsidR="00A04A4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t>miejscowości  zamieszkania</w:t>
      </w:r>
      <w:r w:rsidR="007003A0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Oferta edukacyjna jest lepsza w miastach</w:t>
      </w:r>
      <w:r w:rsidR="000C06C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w porównaniu do wsi. Dotyczy to szczególnie dostępności instytucji niemających obowiązkowego charakteru: opieki 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na</w:t>
      </w:r>
      <w:r w:rsidR="00856C34">
        <w:rPr>
          <w:rFonts w:ascii="Arial" w:hAnsi="Arial" w:cs="Arial"/>
          <w:color w:val="000000"/>
          <w:sz w:val="22"/>
          <w:szCs w:val="22"/>
          <w:lang w:val="pl-PL"/>
        </w:rPr>
        <w:t>d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dziećmi do lat 3, przedszkoli i innych instytucji wychowania przedszkolnego</w:t>
      </w:r>
      <w:r w:rsidR="00856C34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czy też różnego ro</w:t>
      </w:r>
      <w:r w:rsidR="00E82AA5">
        <w:rPr>
          <w:rFonts w:ascii="Arial" w:hAnsi="Arial" w:cs="Arial"/>
          <w:color w:val="000000"/>
          <w:sz w:val="22"/>
          <w:szCs w:val="22"/>
          <w:lang w:val="pl-PL"/>
        </w:rPr>
        <w:t>dzaju oferty zajęć dodatkowych.</w:t>
      </w:r>
    </w:p>
    <w:p w:rsidR="009C1DD4" w:rsidRDefault="009C1DD4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6234E9" w:rsidRPr="009A3D62" w:rsidRDefault="007003A0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Wykształcenie </w:t>
      </w:r>
      <w:r w:rsidR="004E2C26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zdobyte </w:t>
      </w:r>
      <w:r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przed i </w:t>
      </w:r>
      <w:r w:rsidR="006234E9"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>po 1989 roku</w:t>
      </w:r>
    </w:p>
    <w:p w:rsidR="006234E9" w:rsidRPr="009A3D62" w:rsidRDefault="006234E9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color w:val="000000"/>
          <w:sz w:val="22"/>
          <w:szCs w:val="22"/>
          <w:lang w:val="pl-PL"/>
        </w:rPr>
        <w:t>Wyraźnie widoczne jest zróżnicowanie ścieżek edukacyjnych osób kończących swoją edukację przed transformacją (do 1989 r.), w okresie transformacji (1989</w:t>
      </w:r>
      <w:r w:rsidR="000C06C2">
        <w:rPr>
          <w:rFonts w:ascii="Arial" w:hAnsi="Arial" w:cs="Arial"/>
          <w:sz w:val="22"/>
          <w:szCs w:val="22"/>
          <w:lang w:val="pl-PL"/>
        </w:rPr>
        <w:t>–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1999) oraz po 2000 r</w:t>
      </w:r>
      <w:r w:rsidR="000C06C2">
        <w:rPr>
          <w:rFonts w:ascii="Arial" w:hAnsi="Arial" w:cs="Arial"/>
          <w:color w:val="000000"/>
          <w:sz w:val="22"/>
          <w:szCs w:val="22"/>
          <w:lang w:val="pl-PL"/>
        </w:rPr>
        <w:t>oku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="00BA4E20">
        <w:rPr>
          <w:rFonts w:ascii="Arial" w:hAnsi="Arial" w:cs="Arial"/>
          <w:color w:val="000000"/>
          <w:sz w:val="22"/>
          <w:szCs w:val="22"/>
          <w:lang w:val="pl-PL"/>
        </w:rPr>
        <w:t>G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rupy </w:t>
      </w:r>
      <w:r w:rsidR="00BA4E20">
        <w:rPr>
          <w:rFonts w:ascii="Arial" w:hAnsi="Arial" w:cs="Arial"/>
          <w:color w:val="000000"/>
          <w:sz w:val="22"/>
          <w:szCs w:val="22"/>
          <w:lang w:val="pl-PL"/>
        </w:rPr>
        <w:t>te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różnią się nie tylko poziomem osiągniętego wykształcenia,</w:t>
      </w:r>
      <w:r w:rsidR="00856C34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ale i zadowoleniem z </w:t>
      </w:r>
      <w:r w:rsidR="009C1DD4">
        <w:rPr>
          <w:rFonts w:ascii="Arial" w:hAnsi="Arial" w:cs="Arial"/>
          <w:color w:val="000000"/>
          <w:sz w:val="22"/>
          <w:szCs w:val="22"/>
          <w:lang w:val="pl-PL"/>
        </w:rPr>
        <w:t>niego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15014">
        <w:rPr>
          <w:rFonts w:ascii="Arial" w:hAnsi="Arial" w:cs="Arial"/>
          <w:color w:val="000000"/>
          <w:sz w:val="22"/>
          <w:szCs w:val="22"/>
          <w:lang w:val="pl-PL"/>
        </w:rPr>
        <w:t xml:space="preserve">oraz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postawami </w:t>
      </w:r>
      <w:r w:rsidR="007003A0" w:rsidRPr="009A3D62">
        <w:rPr>
          <w:rFonts w:ascii="Arial" w:hAnsi="Arial" w:cs="Arial"/>
          <w:color w:val="000000"/>
          <w:sz w:val="22"/>
          <w:szCs w:val="22"/>
          <w:lang w:val="pl-PL"/>
        </w:rPr>
        <w:t>wobec kształcenia ustawicznego.</w:t>
      </w:r>
      <w:r w:rsidR="006649C2">
        <w:rPr>
          <w:rFonts w:ascii="Arial" w:hAnsi="Arial" w:cs="Arial"/>
          <w:color w:val="000000"/>
          <w:sz w:val="22"/>
          <w:szCs w:val="22"/>
          <w:lang w:val="pl-PL"/>
        </w:rPr>
        <w:t xml:space="preserve"> Najmniej zadowoleni są ci, którzy zdobywali wykształcenie przed 1989 rok</w:t>
      </w:r>
      <w:r w:rsidR="00115014">
        <w:rPr>
          <w:rFonts w:ascii="Arial" w:hAnsi="Arial" w:cs="Arial"/>
          <w:color w:val="000000"/>
          <w:sz w:val="22"/>
          <w:szCs w:val="22"/>
          <w:lang w:val="pl-PL"/>
        </w:rPr>
        <w:t>iem</w:t>
      </w:r>
      <w:r w:rsidR="006649C2">
        <w:rPr>
          <w:rFonts w:ascii="Arial" w:hAnsi="Arial" w:cs="Arial"/>
          <w:color w:val="000000"/>
          <w:sz w:val="22"/>
          <w:szCs w:val="22"/>
          <w:lang w:val="pl-PL"/>
        </w:rPr>
        <w:t>, najbardziej</w:t>
      </w:r>
      <w:r w:rsidR="009C1DD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6649C2">
        <w:rPr>
          <w:rFonts w:ascii="Arial" w:hAnsi="Arial" w:cs="Arial"/>
          <w:color w:val="000000"/>
          <w:sz w:val="22"/>
          <w:szCs w:val="22"/>
          <w:lang w:val="pl-PL"/>
        </w:rPr>
        <w:t>– zdobywający je po 2000 roku.</w:t>
      </w: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7003A0" w:rsidRDefault="00390A6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Zarówno 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>poczucie niezadowolenia z wykszta</w:t>
      </w:r>
      <w:r w:rsidR="00115014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 xml:space="preserve">cenia, jak i </w:t>
      </w:r>
      <w:r w:rsidR="00115014">
        <w:rPr>
          <w:rFonts w:ascii="Arial" w:hAnsi="Arial" w:cs="Arial"/>
          <w:color w:val="000000"/>
          <w:sz w:val="22"/>
          <w:szCs w:val="22"/>
          <w:lang w:val="pl-PL"/>
        </w:rPr>
        <w:t xml:space="preserve">przede wszystkim 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>działania podejmowane, by temu zaradzić</w:t>
      </w:r>
      <w:r w:rsidR="00E82AA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82AA5">
        <w:rPr>
          <w:rFonts w:ascii="Arial" w:hAnsi="Arial" w:cs="Arial"/>
          <w:sz w:val="22"/>
          <w:szCs w:val="22"/>
          <w:lang w:val="pl-PL"/>
        </w:rPr>
        <w:t>–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podjęcie nauki w systemie formalnym bądź 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 xml:space="preserve">w ramach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kształceni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ustawiczne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>go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82AA5">
        <w:rPr>
          <w:rFonts w:ascii="Arial" w:hAnsi="Arial" w:cs="Arial"/>
          <w:sz w:val="22"/>
          <w:szCs w:val="22"/>
          <w:lang w:val="pl-PL"/>
        </w:rPr>
        <w:t>–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wskaz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>ują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na możliwe pogłębienie 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 xml:space="preserve">się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różnic nie tylko między osobami, które kończyły swą edukację przed 1989 rokiem </w:t>
      </w:r>
      <w:r w:rsidR="0002673B">
        <w:rPr>
          <w:rFonts w:ascii="Arial" w:hAnsi="Arial" w:cs="Arial"/>
          <w:color w:val="000000"/>
          <w:sz w:val="22"/>
          <w:szCs w:val="22"/>
          <w:lang w:val="pl-PL"/>
        </w:rPr>
        <w:t xml:space="preserve">a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po 1989 roku, ale także między mieszkańcami wsi i małych miast</w:t>
      </w:r>
      <w:r w:rsidR="00F65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a mieszkańcami innych miast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>, jak również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82AA5">
        <w:rPr>
          <w:rFonts w:ascii="Arial" w:hAnsi="Arial" w:cs="Arial"/>
          <w:color w:val="000000"/>
          <w:sz w:val="22"/>
          <w:szCs w:val="22"/>
          <w:lang w:val="pl-PL"/>
        </w:rPr>
        <w:t>między kobietami i mężczyznami.</w:t>
      </w:r>
    </w:p>
    <w:p w:rsidR="00CD38B5" w:rsidRPr="009A3D62" w:rsidRDefault="00CD38B5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5218B" w:rsidRPr="009A3D62" w:rsidRDefault="0002673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soby z wyższym poziomem wykształcenia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oraz te, które są niezadowolone z</w:t>
      </w:r>
      <w:r w:rsidR="00875FF7">
        <w:rPr>
          <w:rFonts w:ascii="Arial" w:hAnsi="Arial" w:cs="Arial"/>
          <w:color w:val="000000"/>
          <w:sz w:val="22"/>
          <w:szCs w:val="22"/>
          <w:lang w:val="pl-PL"/>
        </w:rPr>
        <w:t>e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15014">
        <w:rPr>
          <w:rFonts w:ascii="Arial" w:hAnsi="Arial" w:cs="Arial"/>
          <w:color w:val="000000"/>
          <w:sz w:val="22"/>
          <w:szCs w:val="22"/>
          <w:lang w:val="pl-PL"/>
        </w:rPr>
        <w:t>swego wykształcenia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, częściej decydują się na uzupełnianie czy kontynuowanie nauki. </w:t>
      </w:r>
      <w:r>
        <w:rPr>
          <w:rFonts w:ascii="Arial" w:hAnsi="Arial" w:cs="Arial"/>
          <w:sz w:val="22"/>
          <w:szCs w:val="22"/>
          <w:lang w:val="pl-PL"/>
        </w:rPr>
        <w:t>M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ożliwe </w:t>
      </w:r>
      <w:r>
        <w:rPr>
          <w:rFonts w:ascii="Arial" w:hAnsi="Arial" w:cs="Arial"/>
          <w:sz w:val="22"/>
          <w:szCs w:val="22"/>
          <w:lang w:val="pl-PL"/>
        </w:rPr>
        <w:t xml:space="preserve">więc, że będą zwiększały się różnice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między </w:t>
      </w:r>
      <w:r>
        <w:rPr>
          <w:rFonts w:ascii="Arial" w:hAnsi="Arial" w:cs="Arial"/>
          <w:sz w:val="22"/>
          <w:szCs w:val="22"/>
          <w:lang w:val="pl-PL"/>
        </w:rPr>
        <w:t xml:space="preserve">nimi a </w:t>
      </w:r>
      <w:r w:rsidR="00390A6B" w:rsidRPr="009A3D62">
        <w:rPr>
          <w:rFonts w:ascii="Arial" w:hAnsi="Arial" w:cs="Arial"/>
          <w:sz w:val="22"/>
          <w:szCs w:val="22"/>
          <w:lang w:val="pl-PL"/>
        </w:rPr>
        <w:t>grupami ludności o niskim poziomie wykształcenia i braku aspiracji edukacyjnych, biernymi edukacyjnie.</w:t>
      </w:r>
    </w:p>
    <w:p w:rsidR="00CD38B5" w:rsidRPr="009A3D62" w:rsidRDefault="00CD38B5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807CC1" w:rsidRPr="009A3D62" w:rsidRDefault="00CD38B5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Co </w:t>
      </w:r>
      <w:r w:rsidR="00807CC1"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motywuje </w:t>
      </w:r>
      <w:r w:rsidR="009A3D6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dorosłych </w:t>
      </w:r>
      <w:r w:rsidR="00807CC1" w:rsidRPr="009A3D62">
        <w:rPr>
          <w:rFonts w:ascii="Arial" w:hAnsi="Arial" w:cs="Arial"/>
          <w:b/>
          <w:color w:val="000000"/>
          <w:sz w:val="22"/>
          <w:szCs w:val="22"/>
          <w:lang w:val="pl-PL"/>
        </w:rPr>
        <w:t>Polaków do nauki</w:t>
      </w:r>
    </w:p>
    <w:p w:rsidR="00807CC1" w:rsidRPr="009A3D62" w:rsidRDefault="00807CC1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807CC1" w:rsidRPr="009A3D62" w:rsidRDefault="00DE6FBC" w:rsidP="00807CC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C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zęściej dokształcają się osoby pracujące, a także te, które poszukują nowej pracy. Natomiast generalnie dorośli Polacy nie odczuwają potrzeby uczenia się – jest to najczęściej wymieniany powód braku aktywności edukacyjnej. Kolejnym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wskazywanym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>powodem jest brak czasu, szczególnie w przypadku osób młodych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i 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osób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w tzw. </w:t>
      </w:r>
      <w:proofErr w:type="spellStart"/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>prime-age</w:t>
      </w:r>
      <w:proofErr w:type="spellEnd"/>
      <w:r w:rsidR="00875FF7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75FF7">
        <w:rPr>
          <w:rFonts w:ascii="Arial" w:hAnsi="Arial" w:cs="Arial"/>
          <w:color w:val="000000"/>
          <w:sz w:val="22"/>
          <w:szCs w:val="22"/>
          <w:lang w:val="pl-PL"/>
        </w:rPr>
        <w:t>M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oże 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to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wskazywać, że </w:t>
      </w:r>
      <w:r w:rsidR="00A04A4A">
        <w:rPr>
          <w:rFonts w:ascii="Arial" w:hAnsi="Arial" w:cs="Arial"/>
          <w:color w:val="000000"/>
          <w:sz w:val="22"/>
          <w:szCs w:val="22"/>
          <w:lang w:val="pl-PL"/>
        </w:rPr>
        <w:br w:type="textWrapping" w:clear="all"/>
      </w:r>
      <w:r w:rsidR="000E1445" w:rsidRPr="001F5487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>t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ych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grup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ach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osób pojawia się konflikt pomiędzy realizacją różnych </w:t>
      </w:r>
      <w:r>
        <w:rPr>
          <w:rFonts w:ascii="Arial" w:hAnsi="Arial" w:cs="Arial"/>
          <w:color w:val="000000"/>
          <w:sz w:val="22"/>
          <w:szCs w:val="22"/>
          <w:lang w:val="pl-PL"/>
        </w:rPr>
        <w:t>celów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A3D62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życia </w:t>
      </w:r>
      <w:r w:rsidR="00BE365E">
        <w:rPr>
          <w:rFonts w:ascii="Arial" w:hAnsi="Arial" w:cs="Arial"/>
          <w:sz w:val="22"/>
          <w:szCs w:val="22"/>
          <w:lang w:val="pl-PL"/>
        </w:rPr>
        <w:t>–</w:t>
      </w:r>
      <w:r w:rsidR="009A3D62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zawodowych, rodzinnych oraz edukacyjnych. </w:t>
      </w:r>
      <w:r w:rsidR="009A3D62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Badanie IBE 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>pokazuje</w:t>
      </w:r>
      <w:r w:rsidR="009A3D62" w:rsidRPr="009A3D62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że postawy wobec uczenia się przez całe życie są</w:t>
      </w:r>
      <w:r w:rsidR="00285441">
        <w:rPr>
          <w:rFonts w:ascii="Arial" w:hAnsi="Arial" w:cs="Arial"/>
          <w:color w:val="000000"/>
          <w:sz w:val="22"/>
          <w:szCs w:val="22"/>
          <w:lang w:val="pl-PL"/>
        </w:rPr>
        <w:t xml:space="preserve"> raczej stabilne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>: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osoby aktywne edukacyjnie w 2013 r.</w:t>
      </w:r>
      <w:r>
        <w:rPr>
          <w:rFonts w:ascii="Arial" w:hAnsi="Arial" w:cs="Arial"/>
          <w:color w:val="000000"/>
          <w:sz w:val="22"/>
          <w:szCs w:val="22"/>
          <w:lang w:val="pl-PL"/>
        </w:rPr>
        <w:t>, podczas pierwszej rundy badania,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były również aktywne w 2014 r., natomiast osoby bierne edukacyjnie </w:t>
      </w:r>
      <w:r w:rsidR="00BE365E">
        <w:rPr>
          <w:rFonts w:ascii="Arial" w:hAnsi="Arial" w:cs="Arial"/>
          <w:sz w:val="22"/>
          <w:szCs w:val="22"/>
          <w:lang w:val="pl-PL"/>
        </w:rPr>
        <w:t>–</w:t>
      </w:r>
      <w:r w:rsidR="004E632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07CC1" w:rsidRPr="009A3D62">
        <w:rPr>
          <w:rFonts w:ascii="Arial" w:hAnsi="Arial" w:cs="Arial"/>
          <w:color w:val="000000"/>
          <w:sz w:val="22"/>
          <w:szCs w:val="22"/>
          <w:lang w:val="pl-PL"/>
        </w:rPr>
        <w:t>pozostały bierne.</w:t>
      </w:r>
    </w:p>
    <w:p w:rsidR="004C155E" w:rsidRDefault="004C155E" w:rsidP="00807CC1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</w:p>
    <w:p w:rsidR="00807CC1" w:rsidRPr="009A3D62" w:rsidRDefault="00807CC1" w:rsidP="00807CC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bCs/>
          <w:color w:val="000000"/>
          <w:sz w:val="22"/>
          <w:szCs w:val="22"/>
          <w:lang w:val="pl-PL"/>
        </w:rPr>
        <w:t>Zarówno kobiety, jak i mężczyźni</w:t>
      </w:r>
      <w:r w:rsidR="00EC7C06">
        <w:rPr>
          <w:rFonts w:ascii="Arial" w:hAnsi="Arial" w:cs="Arial"/>
          <w:bCs/>
          <w:color w:val="000000"/>
          <w:sz w:val="22"/>
          <w:szCs w:val="22"/>
          <w:lang w:val="pl-PL"/>
        </w:rPr>
        <w:t>,</w:t>
      </w:r>
      <w:r w:rsidRPr="009A3D62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jako najważniejszy po</w:t>
      </w:r>
      <w:r w:rsidR="0022317B" w:rsidRPr="009A3D62">
        <w:rPr>
          <w:rFonts w:ascii="Arial" w:hAnsi="Arial" w:cs="Arial"/>
          <w:bCs/>
          <w:color w:val="000000"/>
          <w:sz w:val="22"/>
          <w:szCs w:val="22"/>
          <w:lang w:val="pl-PL"/>
        </w:rPr>
        <w:t>wód kontynuowania nauki wskazali</w:t>
      </w:r>
      <w:r w:rsidRPr="009A3D62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chęć uzyskania dyplomu ukończenia szkoły. Polki na drugim miejscu stawiają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znalezienie odpowiedniej szkoły, panowie wskazują natomiast na chęć poprawy sytuacji finansowej.</w:t>
      </w:r>
    </w:p>
    <w:p w:rsidR="00054361" w:rsidRDefault="00054361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550C6" w:rsidRDefault="00721411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W</w:t>
      </w:r>
      <w:r w:rsidR="006550C6" w:rsidRPr="006550C6">
        <w:rPr>
          <w:rFonts w:ascii="Arial" w:hAnsi="Arial" w:cs="Arial"/>
          <w:b/>
          <w:color w:val="000000"/>
          <w:sz w:val="22"/>
          <w:szCs w:val="22"/>
          <w:lang w:val="pl-PL"/>
        </w:rPr>
        <w:t>ykształceni</w:t>
      </w:r>
      <w:r w:rsidR="00BB22B2">
        <w:rPr>
          <w:rFonts w:ascii="Arial" w:hAnsi="Arial" w:cs="Arial"/>
          <w:b/>
          <w:color w:val="000000"/>
          <w:sz w:val="22"/>
          <w:szCs w:val="22"/>
          <w:lang w:val="pl-PL"/>
        </w:rPr>
        <w:t>e</w:t>
      </w:r>
      <w:r w:rsidR="006550C6" w:rsidRPr="006550C6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a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typ umowy </w:t>
      </w:r>
      <w:r w:rsidR="006550C6" w:rsidRPr="006550C6">
        <w:rPr>
          <w:rFonts w:ascii="Arial" w:hAnsi="Arial" w:cs="Arial"/>
          <w:b/>
          <w:color w:val="000000"/>
          <w:sz w:val="22"/>
          <w:szCs w:val="22"/>
          <w:lang w:val="pl-PL"/>
        </w:rPr>
        <w:t>w pracy</w:t>
      </w:r>
    </w:p>
    <w:p w:rsidR="006550C6" w:rsidRPr="006550C6" w:rsidRDefault="006550C6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EB79A4" w:rsidRPr="009A3D62" w:rsidRDefault="000E1445" w:rsidP="00EB79A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F5487">
        <w:rPr>
          <w:rFonts w:ascii="Arial" w:hAnsi="Arial" w:cs="Arial"/>
          <w:color w:val="000000"/>
          <w:sz w:val="22"/>
          <w:szCs w:val="22"/>
          <w:lang w:val="pl-PL"/>
        </w:rPr>
        <w:t xml:space="preserve">Wykształcenie ma wpływ na pierwszą umowę z pracodawcą  </w:t>
      </w:r>
      <w:r w:rsidRPr="001F5487">
        <w:rPr>
          <w:rFonts w:ascii="Arial" w:hAnsi="Arial" w:cs="Arial"/>
          <w:sz w:val="22"/>
          <w:szCs w:val="22"/>
          <w:lang w:val="pl-PL"/>
        </w:rPr>
        <w:t>–</w:t>
      </w:r>
      <w:r w:rsidRPr="001F5487">
        <w:rPr>
          <w:rFonts w:ascii="Arial" w:hAnsi="Arial" w:cs="Arial"/>
          <w:color w:val="000000"/>
          <w:sz w:val="22"/>
          <w:szCs w:val="22"/>
          <w:lang w:val="pl-PL"/>
        </w:rPr>
        <w:t xml:space="preserve"> z korzyścią dla osób </w:t>
      </w:r>
      <w:r w:rsidRPr="001F5487">
        <w:rPr>
          <w:rFonts w:ascii="Arial" w:hAnsi="Arial" w:cs="Arial"/>
          <w:color w:val="000000"/>
          <w:sz w:val="22"/>
          <w:szCs w:val="22"/>
          <w:lang w:val="pl-PL"/>
        </w:rPr>
        <w:br w:type="textWrapping" w:clear="all"/>
        <w:t>z wykształceniem wyższym</w:t>
      </w:r>
      <w:r w:rsidR="00BE365E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EB79A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B79A4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Ponad 40% osób z wykształceniem co najwyżej podstawowym zdecydowało się na podjęcie pierwszej pracy </w:t>
      </w:r>
      <w:r w:rsidR="00EB79A4">
        <w:rPr>
          <w:rFonts w:ascii="Arial" w:hAnsi="Arial" w:cs="Arial"/>
          <w:color w:val="000000"/>
          <w:sz w:val="22"/>
          <w:szCs w:val="22"/>
          <w:lang w:val="pl-PL"/>
        </w:rPr>
        <w:t>na podstawie</w:t>
      </w:r>
      <w:r w:rsidR="00EB79A4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umow</w:t>
      </w:r>
      <w:r w:rsidR="00EB79A4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="00EB79A4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ustn</w:t>
      </w:r>
      <w:r w:rsidR="00EB79A4">
        <w:rPr>
          <w:rFonts w:ascii="Arial" w:hAnsi="Arial" w:cs="Arial"/>
          <w:color w:val="000000"/>
          <w:sz w:val="22"/>
          <w:szCs w:val="22"/>
          <w:lang w:val="pl-PL"/>
        </w:rPr>
        <w:t>ej</w:t>
      </w:r>
      <w:r w:rsidR="00EB79A4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(co oznacza zatrudnienie w szarej strefie). Natomiast 80% osób, które ukończyły studia, podjęło pierwszą pracę na podstawie umowy na pełen etat. Jeśli podjęły zatrudnienie przed zakończeniem </w:t>
      </w:r>
      <w:r w:rsidR="00EB79A4" w:rsidRPr="009A3D62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 xml:space="preserve">studiów, to mniej niż 20% z nich zdecydowało się na pracę bez formalnej pisemnej umowy. Podejmowanie pracy bez umowy pisemnej (w szarej strefie) przez osoby młode, szczególnie </w:t>
      </w:r>
      <w:r w:rsidR="00A04A4A">
        <w:rPr>
          <w:rFonts w:ascii="Arial" w:hAnsi="Arial" w:cs="Arial"/>
          <w:color w:val="000000"/>
          <w:sz w:val="22"/>
          <w:szCs w:val="22"/>
          <w:lang w:val="pl-PL"/>
        </w:rPr>
        <w:br w:type="textWrapping" w:clear="all"/>
      </w:r>
      <w:r w:rsidR="00EB79A4" w:rsidRPr="009A3D62">
        <w:rPr>
          <w:rFonts w:ascii="Arial" w:hAnsi="Arial" w:cs="Arial"/>
          <w:color w:val="000000"/>
          <w:sz w:val="22"/>
          <w:szCs w:val="22"/>
          <w:lang w:val="pl-PL"/>
        </w:rPr>
        <w:t>z wykształceniem co najwyżej zasadniczym zawodowym, wiąże się z różnego rodzaju ryzykiem (w tym brakiem zabezpieczenia społecznego – praw do zasiłku chorobowego, renty czy emerytury</w:t>
      </w:r>
      <w:r w:rsidR="000C06C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B79A4">
        <w:rPr>
          <w:rFonts w:ascii="Arial" w:hAnsi="Arial" w:cs="Arial"/>
          <w:color w:val="000000"/>
          <w:sz w:val="22"/>
          <w:szCs w:val="22"/>
          <w:lang w:val="pl-PL"/>
        </w:rPr>
        <w:t>w przyszłości).</w:t>
      </w:r>
    </w:p>
    <w:p w:rsidR="0085218B" w:rsidRPr="009A3D62" w:rsidRDefault="0085218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390A6B" w:rsidRPr="009A3D62" w:rsidRDefault="00EB79A4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Generalnie, </w:t>
      </w:r>
      <w:r w:rsidR="00875FF7">
        <w:rPr>
          <w:rFonts w:ascii="Arial" w:hAnsi="Arial" w:cs="Arial"/>
          <w:color w:val="000000"/>
          <w:sz w:val="22"/>
          <w:szCs w:val="22"/>
          <w:lang w:val="pl-PL"/>
        </w:rPr>
        <w:t>n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iższy poziom wykształcenia oznacza też, że osoby młod</w:t>
      </w:r>
      <w:r w:rsidR="004000F2">
        <w:rPr>
          <w:rFonts w:ascii="Arial" w:hAnsi="Arial" w:cs="Arial"/>
          <w:color w:val="000000"/>
          <w:sz w:val="22"/>
          <w:szCs w:val="22"/>
          <w:lang w:val="pl-PL"/>
        </w:rPr>
        <w:t xml:space="preserve">e uzyskują pracę </w:t>
      </w:r>
      <w:r w:rsidR="00A04A4A">
        <w:rPr>
          <w:rFonts w:ascii="Arial" w:hAnsi="Arial" w:cs="Arial"/>
          <w:color w:val="000000"/>
          <w:sz w:val="22"/>
          <w:szCs w:val="22"/>
          <w:lang w:val="pl-PL"/>
        </w:rPr>
        <w:br w:type="textWrapping" w:clear="all"/>
      </w:r>
      <w:r w:rsidR="004000F2">
        <w:rPr>
          <w:rFonts w:ascii="Arial" w:hAnsi="Arial" w:cs="Arial"/>
          <w:color w:val="000000"/>
          <w:sz w:val="22"/>
          <w:szCs w:val="22"/>
          <w:lang w:val="pl-PL"/>
        </w:rPr>
        <w:t>w zawodach nie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wymagających wysokich kompetencji. </w:t>
      </w:r>
      <w:r>
        <w:rPr>
          <w:rFonts w:ascii="Arial" w:hAnsi="Arial" w:cs="Arial"/>
          <w:color w:val="000000"/>
          <w:sz w:val="22"/>
          <w:szCs w:val="22"/>
          <w:lang w:val="pl-PL"/>
        </w:rPr>
        <w:t>Dodatkowo, w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yraźnie widać, że dyplom licencjacki średnio daje niższe wynagrodzenie w porównaniu ze średnim wynagrodzeniem osób posiadających dyplom liceum profilowanego </w:t>
      </w:r>
      <w:r w:rsidR="00A04A4A">
        <w:rPr>
          <w:rFonts w:ascii="Arial" w:hAnsi="Arial" w:cs="Arial"/>
          <w:color w:val="000000"/>
          <w:sz w:val="22"/>
          <w:szCs w:val="22"/>
          <w:lang w:val="pl-PL"/>
        </w:rPr>
        <w:t>(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>z maturą</w:t>
      </w:r>
      <w:r w:rsidR="00A04A4A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390A6B"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czy średnią szkołą zawodową (zarówno z maturą</w:t>
      </w:r>
      <w:r w:rsidR="0030175D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BE365E">
        <w:rPr>
          <w:rFonts w:ascii="Arial" w:hAnsi="Arial" w:cs="Arial"/>
          <w:color w:val="000000"/>
          <w:sz w:val="22"/>
          <w:szCs w:val="22"/>
          <w:lang w:val="pl-PL"/>
        </w:rPr>
        <w:t xml:space="preserve"> jak i bez matury).</w:t>
      </w:r>
    </w:p>
    <w:p w:rsidR="006550C6" w:rsidRDefault="006550C6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550C6" w:rsidRDefault="006550C6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550C6">
        <w:rPr>
          <w:rFonts w:ascii="Arial" w:hAnsi="Arial" w:cs="Arial"/>
          <w:b/>
          <w:color w:val="000000"/>
          <w:sz w:val="22"/>
          <w:szCs w:val="22"/>
          <w:lang w:val="pl-PL"/>
        </w:rPr>
        <w:t>Wykluczenie edukacyjne</w:t>
      </w:r>
    </w:p>
    <w:p w:rsidR="006550C6" w:rsidRPr="006550C6" w:rsidRDefault="006550C6" w:rsidP="00390A6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A3D62">
        <w:rPr>
          <w:rFonts w:ascii="Arial" w:hAnsi="Arial" w:cs="Arial"/>
          <w:color w:val="000000"/>
          <w:sz w:val="22"/>
          <w:szCs w:val="22"/>
          <w:lang w:val="pl-PL"/>
        </w:rPr>
        <w:t>Wykluczenie edukacyjne, rozumiane jako osiągnięcie niskiego poziomu wykształcenia, wpływa na zwiększenie wykluczenia społecznego. Można zatem powiedzieć, że wykształcenie</w:t>
      </w:r>
      <w:r w:rsidR="00BE365E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i poziom kapitału ludzkiego są </w:t>
      </w:r>
      <w:r w:rsidR="006550C6">
        <w:rPr>
          <w:rFonts w:ascii="Arial" w:hAnsi="Arial" w:cs="Arial"/>
          <w:color w:val="000000"/>
          <w:sz w:val="22"/>
          <w:szCs w:val="22"/>
          <w:lang w:val="pl-PL"/>
        </w:rPr>
        <w:t>ważnym czynnikiem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wykluczenia w </w:t>
      </w:r>
      <w:r w:rsidR="004A0F09">
        <w:rPr>
          <w:rFonts w:ascii="Arial" w:hAnsi="Arial" w:cs="Arial"/>
          <w:color w:val="000000"/>
          <w:sz w:val="22"/>
          <w:szCs w:val="22"/>
          <w:lang w:val="pl-PL"/>
        </w:rPr>
        <w:t xml:space="preserve">jego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różnych wymiarach</w:t>
      </w:r>
      <w:r w:rsidR="0030175D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takich jak: </w:t>
      </w:r>
      <w:r w:rsidRPr="009A3D62">
        <w:rPr>
          <w:rFonts w:ascii="Arial" w:hAnsi="Arial" w:cs="Arial"/>
          <w:sz w:val="22"/>
          <w:szCs w:val="22"/>
          <w:lang w:val="pl-PL"/>
        </w:rPr>
        <w:t>kompetencje cywilizacyjne, rynek pracy, materialne warunki kształcenia i rozwoju, wypoczynek i ochron</w:t>
      </w:r>
      <w:r w:rsidR="0030175D">
        <w:rPr>
          <w:rFonts w:ascii="Arial" w:hAnsi="Arial" w:cs="Arial"/>
          <w:sz w:val="22"/>
          <w:szCs w:val="22"/>
          <w:lang w:val="pl-PL"/>
        </w:rPr>
        <w:t>a</w:t>
      </w:r>
      <w:r w:rsidR="00BE365E">
        <w:rPr>
          <w:rFonts w:ascii="Arial" w:hAnsi="Arial" w:cs="Arial"/>
          <w:sz w:val="22"/>
          <w:szCs w:val="22"/>
          <w:lang w:val="pl-PL"/>
        </w:rPr>
        <w:t xml:space="preserve"> zdrowia.</w:t>
      </w:r>
    </w:p>
    <w:p w:rsidR="00301238" w:rsidRPr="009A3D62" w:rsidRDefault="00301238" w:rsidP="00390A6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90A6B" w:rsidRPr="009A3D62" w:rsidRDefault="00DE6FBC" w:rsidP="00390A6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Jeśli w rodzinie są</w:t>
      </w:r>
      <w:r w:rsidR="004A0F0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osoby dorosłe</w:t>
      </w:r>
      <w:r w:rsidR="004A0F09">
        <w:rPr>
          <w:rFonts w:ascii="Arial" w:hAnsi="Arial" w:cs="Arial"/>
          <w:sz w:val="22"/>
          <w:szCs w:val="22"/>
          <w:lang w:val="pl-PL"/>
        </w:rPr>
        <w:t xml:space="preserve"> z niskim wykształceniem</w:t>
      </w:r>
      <w:r>
        <w:rPr>
          <w:rFonts w:ascii="Arial" w:hAnsi="Arial" w:cs="Arial"/>
          <w:sz w:val="22"/>
          <w:szCs w:val="22"/>
          <w:lang w:val="pl-PL"/>
        </w:rPr>
        <w:t xml:space="preserve">, rzutuje </w:t>
      </w:r>
      <w:r w:rsidR="000C06C2">
        <w:rPr>
          <w:rFonts w:ascii="Arial" w:hAnsi="Arial" w:cs="Arial"/>
          <w:sz w:val="22"/>
          <w:szCs w:val="22"/>
          <w:lang w:val="pl-PL"/>
        </w:rPr>
        <w:t xml:space="preserve">to </w:t>
      </w:r>
      <w:r>
        <w:rPr>
          <w:rFonts w:ascii="Arial" w:hAnsi="Arial" w:cs="Arial"/>
          <w:sz w:val="22"/>
          <w:szCs w:val="22"/>
          <w:lang w:val="pl-PL"/>
        </w:rPr>
        <w:t xml:space="preserve">na sytuację dzieci </w:t>
      </w:r>
      <w:r w:rsidR="00A04A4A">
        <w:rPr>
          <w:rFonts w:ascii="Arial" w:hAnsi="Arial" w:cs="Arial"/>
          <w:sz w:val="22"/>
          <w:szCs w:val="22"/>
          <w:lang w:val="pl-PL"/>
        </w:rPr>
        <w:br w:type="textWrapping" w:clear="all"/>
      </w:r>
      <w:r w:rsidRPr="009A3D62">
        <w:rPr>
          <w:rFonts w:ascii="Arial" w:hAnsi="Arial" w:cs="Arial"/>
          <w:sz w:val="22"/>
          <w:szCs w:val="22"/>
          <w:lang w:val="pl-PL"/>
        </w:rPr>
        <w:t>w wieku 4</w:t>
      </w:r>
      <w:r w:rsidR="000E437D" w:rsidRPr="009A3D62">
        <w:rPr>
          <w:rFonts w:ascii="Arial" w:hAnsi="Arial" w:cs="Arial"/>
          <w:color w:val="000000"/>
          <w:sz w:val="22"/>
          <w:szCs w:val="22"/>
          <w:lang w:val="pl-PL"/>
        </w:rPr>
        <w:t>–</w:t>
      </w:r>
      <w:r w:rsidRPr="009A3D62">
        <w:rPr>
          <w:rFonts w:ascii="Arial" w:hAnsi="Arial" w:cs="Arial"/>
          <w:sz w:val="22"/>
          <w:szCs w:val="22"/>
          <w:lang w:val="pl-PL"/>
        </w:rPr>
        <w:t>14 lat</w:t>
      </w:r>
      <w:r>
        <w:rPr>
          <w:rFonts w:ascii="Arial" w:hAnsi="Arial" w:cs="Arial"/>
          <w:sz w:val="22"/>
          <w:szCs w:val="22"/>
          <w:lang w:val="pl-PL"/>
        </w:rPr>
        <w:t xml:space="preserve">, które są bardziej zagrożone wykluczeniem lub ich wykluczenie się pogłębia.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W efekcie dzieci w gospodarstwach domowych z osobami </w:t>
      </w:r>
      <w:r w:rsidR="004A0F09">
        <w:rPr>
          <w:rFonts w:ascii="Arial" w:hAnsi="Arial" w:cs="Arial"/>
          <w:sz w:val="22"/>
          <w:szCs w:val="22"/>
          <w:lang w:val="pl-PL"/>
        </w:rPr>
        <w:t xml:space="preserve">dorosłymi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wykluczonymi edukacyjnie mają gorsze warunki kształcenia i rozwoju, co sprzyja dziedziczeniu </w:t>
      </w:r>
      <w:r>
        <w:rPr>
          <w:rFonts w:ascii="Arial" w:hAnsi="Arial" w:cs="Arial"/>
          <w:sz w:val="22"/>
          <w:szCs w:val="22"/>
          <w:lang w:val="pl-PL"/>
        </w:rPr>
        <w:t xml:space="preserve">tej sytuacji </w:t>
      </w:r>
      <w:r w:rsidR="00390A6B" w:rsidRPr="009A3D62">
        <w:rPr>
          <w:rFonts w:ascii="Arial" w:hAnsi="Arial" w:cs="Arial"/>
          <w:sz w:val="22"/>
          <w:szCs w:val="22"/>
          <w:lang w:val="pl-PL"/>
        </w:rPr>
        <w:t xml:space="preserve">przez kolejne pokolenia. Osiągnięcie wyższego poziomu wykształcenia znacząco zwiększa prawdopodobieństwo wyjścia z wykluczenia społecznego. </w:t>
      </w: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390A6B" w:rsidRPr="009A3D62" w:rsidRDefault="00390A6B" w:rsidP="00390A6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Jednym z najważniejszych wniosków płynących z wyników dwóch rund badania </w:t>
      </w:r>
      <w:r w:rsidR="00301238" w:rsidRPr="009A3D62">
        <w:rPr>
          <w:rFonts w:ascii="Arial" w:hAnsi="Arial" w:cs="Arial"/>
          <w:color w:val="000000"/>
          <w:sz w:val="22"/>
          <w:szCs w:val="22"/>
          <w:lang w:val="pl-PL"/>
        </w:rPr>
        <w:t>jest konieczność motywowania do większego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 xml:space="preserve"> uczestnictwa w różnych formach dodatkowej edukacji</w:t>
      </w:r>
      <w:r w:rsidR="004A0F09">
        <w:rPr>
          <w:rFonts w:ascii="Arial" w:hAnsi="Arial" w:cs="Arial"/>
          <w:color w:val="000000"/>
          <w:sz w:val="22"/>
          <w:szCs w:val="22"/>
          <w:lang w:val="pl-PL"/>
        </w:rPr>
        <w:t xml:space="preserve"> i zwiększenia </w:t>
      </w:r>
      <w:r w:rsidRPr="009A3D62">
        <w:rPr>
          <w:rFonts w:ascii="Arial" w:hAnsi="Arial" w:cs="Arial"/>
          <w:color w:val="000000"/>
          <w:sz w:val="22"/>
          <w:szCs w:val="22"/>
          <w:lang w:val="pl-PL"/>
        </w:rPr>
        <w:t>zarówno dostępu dzieci do edukacji przedszkolnej i zajęć dodatkowych, jak i budowania elastycznej, dostępnej i odpowiedniej jakości oferty w o</w:t>
      </w:r>
      <w:r w:rsidR="00BE365E">
        <w:rPr>
          <w:rFonts w:ascii="Arial" w:hAnsi="Arial" w:cs="Arial"/>
          <w:color w:val="000000"/>
          <w:sz w:val="22"/>
          <w:szCs w:val="22"/>
          <w:lang w:val="pl-PL"/>
        </w:rPr>
        <w:t xml:space="preserve">bszarze edukacji </w:t>
      </w:r>
      <w:proofErr w:type="spellStart"/>
      <w:r w:rsidR="00BE365E">
        <w:rPr>
          <w:rFonts w:ascii="Arial" w:hAnsi="Arial" w:cs="Arial"/>
          <w:color w:val="000000"/>
          <w:sz w:val="22"/>
          <w:szCs w:val="22"/>
          <w:lang w:val="pl-PL"/>
        </w:rPr>
        <w:t>pozaformalnej</w:t>
      </w:r>
      <w:proofErr w:type="spellEnd"/>
      <w:r w:rsidR="00BE365E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390A6B" w:rsidRDefault="00390A6B" w:rsidP="0022317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61139" w:rsidRDefault="00761139" w:rsidP="00BB22B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Kto inwestuje w rozwój swoich dzieci?</w:t>
      </w:r>
    </w:p>
    <w:p w:rsidR="00761139" w:rsidRDefault="00761139" w:rsidP="00BB22B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61139" w:rsidRDefault="00DE70D4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E70D4">
        <w:rPr>
          <w:rFonts w:ascii="Arial" w:hAnsi="Arial" w:cs="Arial"/>
          <w:sz w:val="22"/>
          <w:szCs w:val="22"/>
          <w:lang w:val="pl-PL"/>
        </w:rPr>
        <w:t xml:space="preserve">Rodzice </w:t>
      </w:r>
      <w:r w:rsidR="00761139">
        <w:rPr>
          <w:rFonts w:ascii="Arial" w:hAnsi="Arial" w:cs="Arial"/>
          <w:sz w:val="22"/>
          <w:szCs w:val="22"/>
          <w:lang w:val="pl-PL"/>
        </w:rPr>
        <w:t xml:space="preserve">z wyższym wykształceniem, zamieszkali w miastach częściej wysyłają swoje dzieci na różnego typu zajęcia dodatkowe. Dziewczynki częściej korzystają z zajęć związanych </w:t>
      </w:r>
      <w:r w:rsidR="00A04A4A">
        <w:rPr>
          <w:rFonts w:ascii="Arial" w:hAnsi="Arial" w:cs="Arial"/>
          <w:sz w:val="22"/>
          <w:szCs w:val="22"/>
          <w:lang w:val="pl-PL"/>
        </w:rPr>
        <w:br w:type="textWrapping" w:clear="all"/>
      </w:r>
      <w:bookmarkStart w:id="0" w:name="_GoBack"/>
      <w:bookmarkEnd w:id="0"/>
      <w:r w:rsidR="00761139">
        <w:rPr>
          <w:rFonts w:ascii="Arial" w:hAnsi="Arial" w:cs="Arial"/>
          <w:sz w:val="22"/>
          <w:szCs w:val="22"/>
          <w:lang w:val="pl-PL"/>
        </w:rPr>
        <w:t xml:space="preserve">z przedmiotami szkolnymi czy rozwijających zainteresowania, chłopcy za to częściej chodzą na dodatkowe zajęcia sportowe. </w:t>
      </w:r>
    </w:p>
    <w:p w:rsidR="00761139" w:rsidRDefault="00761139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61139" w:rsidRDefault="00761139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Dostęp do zajęć dodatkowych jest również większy w miastach w porównaniu do obszarów wiejskich. </w:t>
      </w:r>
    </w:p>
    <w:p w:rsidR="00761139" w:rsidRDefault="00761139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61139" w:rsidRDefault="00761139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Wydatki na edukację ponoszą praktycznie niemal wszystkie gospodarstwa domowe</w:t>
      </w:r>
      <w:r w:rsidR="000E437D">
        <w:rPr>
          <w:rFonts w:ascii="Arial" w:hAnsi="Arial" w:cs="Arial"/>
          <w:sz w:val="22"/>
          <w:szCs w:val="22"/>
          <w:lang w:val="pl-PL"/>
        </w:rPr>
        <w:t>,</w:t>
      </w:r>
      <w:r w:rsidR="004409A2">
        <w:rPr>
          <w:rFonts w:ascii="Arial" w:hAnsi="Arial" w:cs="Arial"/>
          <w:sz w:val="22"/>
          <w:szCs w:val="22"/>
          <w:lang w:val="pl-PL"/>
        </w:rPr>
        <w:t xml:space="preserve"> w skład których wchodzą osoby uczestniczące w edukacji formalnej</w:t>
      </w:r>
      <w:r>
        <w:rPr>
          <w:rFonts w:ascii="Arial" w:hAnsi="Arial" w:cs="Arial"/>
          <w:sz w:val="22"/>
          <w:szCs w:val="22"/>
          <w:lang w:val="pl-PL"/>
        </w:rPr>
        <w:t xml:space="preserve">. Są one zróżnicowane przede wszystkim ze względu na poziom edukacji – najwyższe wydatki gospodarstw domowych </w:t>
      </w:r>
      <w:r>
        <w:rPr>
          <w:rFonts w:ascii="Arial" w:hAnsi="Arial" w:cs="Arial"/>
          <w:sz w:val="22"/>
          <w:szCs w:val="22"/>
          <w:lang w:val="pl-PL"/>
        </w:rPr>
        <w:lastRenderedPageBreak/>
        <w:t xml:space="preserve">dotyczą wydatków na naukę na poziomie wyższym. Nieco więcej wydają rodziny zasobniejsze, aczkolwiek różnice te nie są znaczące.  </w:t>
      </w:r>
    </w:p>
    <w:p w:rsidR="00761139" w:rsidRDefault="00761139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B22B2" w:rsidRPr="00BB22B2" w:rsidRDefault="00BB22B2" w:rsidP="00BB22B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B22B2">
        <w:rPr>
          <w:rFonts w:ascii="Arial" w:hAnsi="Arial" w:cs="Arial"/>
          <w:b/>
          <w:sz w:val="22"/>
          <w:szCs w:val="22"/>
          <w:lang w:val="pl-PL"/>
        </w:rPr>
        <w:t>Wpływ polityki lokalnej na zachowania gospodarstw domowych</w:t>
      </w:r>
    </w:p>
    <w:p w:rsidR="00BB22B2" w:rsidRPr="00BB22B2" w:rsidRDefault="00BB22B2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B22B2" w:rsidRDefault="00BB22B2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B22B2">
        <w:rPr>
          <w:rFonts w:ascii="Arial" w:hAnsi="Arial" w:cs="Arial"/>
          <w:sz w:val="22"/>
          <w:szCs w:val="22"/>
          <w:lang w:val="pl-PL"/>
        </w:rPr>
        <w:t xml:space="preserve">Duże znaczenie dla aktywności edukacyjnej </w:t>
      </w:r>
      <w:r w:rsidR="007158F7">
        <w:rPr>
          <w:rFonts w:ascii="Arial" w:hAnsi="Arial" w:cs="Arial"/>
          <w:sz w:val="22"/>
          <w:szCs w:val="22"/>
          <w:lang w:val="pl-PL"/>
        </w:rPr>
        <w:t xml:space="preserve">ma </w:t>
      </w:r>
      <w:r w:rsidRPr="00BB22B2">
        <w:rPr>
          <w:rFonts w:ascii="Arial" w:hAnsi="Arial" w:cs="Arial"/>
          <w:sz w:val="22"/>
          <w:szCs w:val="22"/>
          <w:lang w:val="pl-PL"/>
        </w:rPr>
        <w:t xml:space="preserve">także polityka lokalna dotycząca </w:t>
      </w:r>
      <w:r w:rsidR="00207DB8">
        <w:rPr>
          <w:rFonts w:ascii="Arial" w:hAnsi="Arial" w:cs="Arial"/>
          <w:sz w:val="22"/>
          <w:szCs w:val="22"/>
          <w:lang w:val="pl-PL"/>
        </w:rPr>
        <w:t xml:space="preserve">zwłaszcza </w:t>
      </w:r>
      <w:r w:rsidRPr="00BB22B2">
        <w:rPr>
          <w:rFonts w:ascii="Arial" w:hAnsi="Arial" w:cs="Arial"/>
          <w:sz w:val="22"/>
          <w:szCs w:val="22"/>
          <w:lang w:val="pl-PL"/>
        </w:rPr>
        <w:t>tworzenia bądź zamykania placówek edukacyjnych</w:t>
      </w:r>
      <w:r w:rsidR="00207DB8">
        <w:rPr>
          <w:rFonts w:ascii="Arial" w:hAnsi="Arial" w:cs="Arial"/>
          <w:sz w:val="22"/>
          <w:szCs w:val="22"/>
          <w:lang w:val="pl-PL"/>
        </w:rPr>
        <w:t xml:space="preserve"> oraz </w:t>
      </w:r>
      <w:r w:rsidR="003C3088">
        <w:rPr>
          <w:rFonts w:ascii="Arial" w:hAnsi="Arial" w:cs="Arial"/>
          <w:sz w:val="22"/>
          <w:szCs w:val="22"/>
          <w:lang w:val="pl-PL"/>
        </w:rPr>
        <w:t xml:space="preserve">jakości </w:t>
      </w:r>
      <w:r w:rsidR="00207DB8">
        <w:rPr>
          <w:rFonts w:ascii="Arial" w:hAnsi="Arial" w:cs="Arial"/>
          <w:sz w:val="22"/>
          <w:szCs w:val="22"/>
          <w:lang w:val="pl-PL"/>
        </w:rPr>
        <w:t>oferty edukacyjnej</w:t>
      </w:r>
      <w:r w:rsidRPr="00BB22B2">
        <w:rPr>
          <w:rFonts w:ascii="Arial" w:hAnsi="Arial" w:cs="Arial"/>
          <w:sz w:val="22"/>
          <w:szCs w:val="22"/>
          <w:lang w:val="pl-PL"/>
        </w:rPr>
        <w:t>.</w:t>
      </w:r>
    </w:p>
    <w:p w:rsidR="00BB22B2" w:rsidRPr="00BB22B2" w:rsidRDefault="00BB22B2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B22B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BB22B2" w:rsidRDefault="007158F7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</w:t>
      </w:r>
      <w:r w:rsidR="00BB22B2" w:rsidRPr="00BB22B2">
        <w:rPr>
          <w:rFonts w:ascii="Arial" w:hAnsi="Arial" w:cs="Arial"/>
          <w:sz w:val="22"/>
          <w:szCs w:val="22"/>
          <w:lang w:val="pl-PL"/>
        </w:rPr>
        <w:t>stotnym kryterium podejmowania decyzji edukacyjnych jest bliskość placówki edukacyjnej. Dlatego też mimo niżu demograficznego należy rozwijać ofertę edukacyjną tak</w:t>
      </w:r>
      <w:r w:rsidR="004A0F09">
        <w:rPr>
          <w:rFonts w:ascii="Arial" w:hAnsi="Arial" w:cs="Arial"/>
          <w:sz w:val="22"/>
          <w:szCs w:val="22"/>
          <w:lang w:val="pl-PL"/>
        </w:rPr>
        <w:t xml:space="preserve">, </w:t>
      </w:r>
      <w:r w:rsidR="00BB22B2" w:rsidRPr="00BB22B2">
        <w:rPr>
          <w:rFonts w:ascii="Arial" w:hAnsi="Arial" w:cs="Arial"/>
          <w:sz w:val="22"/>
          <w:szCs w:val="22"/>
          <w:lang w:val="pl-PL"/>
        </w:rPr>
        <w:t xml:space="preserve">by uzupełniać ją szczególnie </w:t>
      </w:r>
      <w:r w:rsidR="003C3088">
        <w:rPr>
          <w:rFonts w:ascii="Arial" w:hAnsi="Arial" w:cs="Arial"/>
          <w:sz w:val="22"/>
          <w:szCs w:val="22"/>
          <w:lang w:val="pl-PL"/>
        </w:rPr>
        <w:t>w małych ośrodkach</w:t>
      </w:r>
      <w:r w:rsidR="00BB22B2" w:rsidRPr="00BB22B2">
        <w:rPr>
          <w:rFonts w:ascii="Arial" w:hAnsi="Arial" w:cs="Arial"/>
          <w:sz w:val="22"/>
          <w:szCs w:val="22"/>
          <w:lang w:val="pl-PL"/>
        </w:rPr>
        <w:t>. Rozwój oferty powinien opierać się na analizie potrzeb lokalnych. Szczególnie brak dostępu do miejsc w żłobkach</w:t>
      </w:r>
      <w:r w:rsidR="003C3088">
        <w:rPr>
          <w:rFonts w:ascii="Arial" w:hAnsi="Arial" w:cs="Arial"/>
          <w:sz w:val="22"/>
          <w:szCs w:val="22"/>
          <w:lang w:val="pl-PL"/>
        </w:rPr>
        <w:t xml:space="preserve"> </w:t>
      </w:r>
      <w:r w:rsidR="00BB22B2" w:rsidRPr="00BB22B2">
        <w:rPr>
          <w:rFonts w:ascii="Arial" w:hAnsi="Arial" w:cs="Arial"/>
          <w:sz w:val="22"/>
          <w:szCs w:val="22"/>
          <w:lang w:val="pl-PL"/>
        </w:rPr>
        <w:t>i placówkach wychowania przedszkolnego bardzo silnie ogranicza możliwość podejmowania jakichkolwiek decyzji edukacyjnych – zarówno dotyczących dzieci</w:t>
      </w:r>
      <w:r>
        <w:rPr>
          <w:rFonts w:ascii="Arial" w:hAnsi="Arial" w:cs="Arial"/>
          <w:sz w:val="22"/>
          <w:szCs w:val="22"/>
          <w:lang w:val="pl-PL"/>
        </w:rPr>
        <w:t>,</w:t>
      </w:r>
      <w:r w:rsidR="00BB22B2" w:rsidRPr="00BB22B2">
        <w:rPr>
          <w:rFonts w:ascii="Arial" w:hAnsi="Arial" w:cs="Arial"/>
          <w:sz w:val="22"/>
          <w:szCs w:val="22"/>
          <w:lang w:val="pl-PL"/>
        </w:rPr>
        <w:t xml:space="preserve"> jak i samych dorosłych. Wyniki analiz dostarczają </w:t>
      </w:r>
      <w:r w:rsidR="004A0F09">
        <w:rPr>
          <w:rFonts w:ascii="Arial" w:hAnsi="Arial" w:cs="Arial"/>
          <w:sz w:val="22"/>
          <w:szCs w:val="22"/>
          <w:lang w:val="pl-PL"/>
        </w:rPr>
        <w:t xml:space="preserve">dodatkowych </w:t>
      </w:r>
      <w:r w:rsidR="00BB22B2" w:rsidRPr="00BB22B2">
        <w:rPr>
          <w:rFonts w:ascii="Arial" w:hAnsi="Arial" w:cs="Arial"/>
          <w:sz w:val="22"/>
          <w:szCs w:val="22"/>
          <w:lang w:val="pl-PL"/>
        </w:rPr>
        <w:t>argumentów za rozwijaniem sieci przedszkoli i żłobków szczególnie na wsi.</w:t>
      </w:r>
    </w:p>
    <w:p w:rsidR="00207DB8" w:rsidRPr="00BB22B2" w:rsidRDefault="00207DB8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B22B2" w:rsidRDefault="007158F7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tej sytuacji</w:t>
      </w:r>
      <w:r w:rsidR="003C3088">
        <w:rPr>
          <w:rFonts w:ascii="Arial" w:hAnsi="Arial" w:cs="Arial"/>
          <w:sz w:val="22"/>
          <w:szCs w:val="22"/>
          <w:lang w:val="pl-PL"/>
        </w:rPr>
        <w:t xml:space="preserve"> szczególnego znaczenia nabiera </w:t>
      </w:r>
      <w:r w:rsidR="00BB22B2" w:rsidRPr="00BB22B2">
        <w:rPr>
          <w:rFonts w:ascii="Arial" w:hAnsi="Arial" w:cs="Arial"/>
          <w:sz w:val="22"/>
          <w:szCs w:val="22"/>
          <w:lang w:val="pl-PL"/>
        </w:rPr>
        <w:t>dbałość o jakość już istniejących instytucji edukacyjnych</w:t>
      </w:r>
      <w:r w:rsidR="003C3088">
        <w:rPr>
          <w:rFonts w:ascii="Arial" w:hAnsi="Arial" w:cs="Arial"/>
          <w:sz w:val="22"/>
          <w:szCs w:val="22"/>
          <w:lang w:val="pl-PL"/>
        </w:rPr>
        <w:t>. Dlatego t</w:t>
      </w:r>
      <w:r>
        <w:rPr>
          <w:rFonts w:ascii="Arial" w:hAnsi="Arial" w:cs="Arial"/>
          <w:sz w:val="22"/>
          <w:szCs w:val="22"/>
          <w:lang w:val="pl-PL"/>
        </w:rPr>
        <w:t>ak</w:t>
      </w:r>
      <w:r w:rsidR="003C3088">
        <w:rPr>
          <w:rFonts w:ascii="Arial" w:hAnsi="Arial" w:cs="Arial"/>
          <w:sz w:val="22"/>
          <w:szCs w:val="22"/>
          <w:lang w:val="pl-PL"/>
        </w:rPr>
        <w:t xml:space="preserve"> ważne jest np. </w:t>
      </w:r>
      <w:r w:rsidR="00BB22B2" w:rsidRPr="00BB22B2">
        <w:rPr>
          <w:rFonts w:ascii="Arial" w:hAnsi="Arial" w:cs="Arial"/>
          <w:sz w:val="22"/>
          <w:szCs w:val="22"/>
          <w:lang w:val="pl-PL"/>
        </w:rPr>
        <w:t xml:space="preserve">rozwijanie systemów wsparcia szkół w </w:t>
      </w:r>
      <w:r>
        <w:rPr>
          <w:rFonts w:ascii="Arial" w:hAnsi="Arial" w:cs="Arial"/>
          <w:sz w:val="22"/>
          <w:szCs w:val="22"/>
          <w:lang w:val="pl-PL"/>
        </w:rPr>
        <w:t xml:space="preserve">zakresie </w:t>
      </w:r>
      <w:r w:rsidR="00BB22B2" w:rsidRPr="00BB22B2">
        <w:rPr>
          <w:rFonts w:ascii="Arial" w:hAnsi="Arial" w:cs="Arial"/>
          <w:sz w:val="22"/>
          <w:szCs w:val="22"/>
          <w:lang w:val="pl-PL"/>
        </w:rPr>
        <w:t xml:space="preserve"> jakości nauczania. Dotyczy to przede wszystkim szkół podstawowych i gimnazjów znajdujących się na wsi i w mniejszych miejscowościach.</w:t>
      </w:r>
      <w:r w:rsidR="003C3088">
        <w:rPr>
          <w:rFonts w:ascii="Arial" w:hAnsi="Arial" w:cs="Arial"/>
          <w:sz w:val="22"/>
          <w:szCs w:val="22"/>
          <w:lang w:val="pl-PL"/>
        </w:rPr>
        <w:t xml:space="preserve"> </w:t>
      </w:r>
      <w:r w:rsidR="00BB22B2" w:rsidRPr="00BB22B2">
        <w:rPr>
          <w:rFonts w:ascii="Arial" w:hAnsi="Arial" w:cs="Arial"/>
          <w:sz w:val="22"/>
          <w:szCs w:val="22"/>
          <w:lang w:val="pl-PL"/>
        </w:rPr>
        <w:t xml:space="preserve">Istotne jest także wspieranie inicjatyw związanych z prowadzeniem zajęć pozalekcyjnych. </w:t>
      </w:r>
      <w:r w:rsidR="003C3088">
        <w:rPr>
          <w:rFonts w:ascii="Arial" w:hAnsi="Arial" w:cs="Arial"/>
          <w:sz w:val="22"/>
          <w:szCs w:val="22"/>
          <w:lang w:val="pl-PL"/>
        </w:rPr>
        <w:t>D</w:t>
      </w:r>
      <w:r w:rsidR="00BB22B2" w:rsidRPr="00BB22B2">
        <w:rPr>
          <w:rFonts w:ascii="Arial" w:hAnsi="Arial" w:cs="Arial"/>
          <w:sz w:val="22"/>
          <w:szCs w:val="22"/>
          <w:lang w:val="pl-PL"/>
        </w:rPr>
        <w:t>obrym pomysłem może być tu np. wspieranie bibliotek w takiej działalności ze względu na powszechny dostęp do t</w:t>
      </w:r>
      <w:r>
        <w:rPr>
          <w:rFonts w:ascii="Arial" w:hAnsi="Arial" w:cs="Arial"/>
          <w:sz w:val="22"/>
          <w:szCs w:val="22"/>
          <w:lang w:val="pl-PL"/>
        </w:rPr>
        <w:t xml:space="preserve">ych </w:t>
      </w:r>
      <w:r w:rsidR="00BB22B2" w:rsidRPr="00BB22B2">
        <w:rPr>
          <w:rFonts w:ascii="Arial" w:hAnsi="Arial" w:cs="Arial"/>
          <w:sz w:val="22"/>
          <w:szCs w:val="22"/>
          <w:lang w:val="pl-PL"/>
        </w:rPr>
        <w:t>placówek.</w:t>
      </w:r>
    </w:p>
    <w:p w:rsidR="006C2842" w:rsidRDefault="006C2842" w:rsidP="00BB22B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A0BF0" w:rsidRPr="0085218B" w:rsidRDefault="006C2842" w:rsidP="006C2842">
      <w:pPr>
        <w:spacing w:line="276" w:lineRule="auto"/>
        <w:jc w:val="both"/>
        <w:rPr>
          <w:color w:val="E36C0A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Broszura z wynikami badania dostępna na stronie </w:t>
      </w:r>
      <w:hyperlink r:id="rId8" w:history="1">
        <w:r>
          <w:rPr>
            <w:rStyle w:val="Hipercze"/>
          </w:rPr>
          <w:t>http://eduentuzjasci.pl/badania/110-badanie/235-uwarunkowania-decyzji-edukacyjnych-badanie-panelowe-gospodarstw-domowych.html</w:t>
        </w:r>
      </w:hyperlink>
      <w:r>
        <w:br w:type="textWrapping" w:clear="all"/>
      </w:r>
    </w:p>
    <w:p w:rsidR="000D0E7B" w:rsidRPr="0085218B" w:rsidRDefault="000D0E7B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</w:p>
    <w:p w:rsidR="00BA0BF0" w:rsidRPr="0085218B" w:rsidRDefault="00BA0BF0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85218B">
        <w:rPr>
          <w:b/>
          <w:sz w:val="18"/>
          <w:szCs w:val="18"/>
          <w:u w:val="single"/>
        </w:rPr>
        <w:t>Informacja o Instytucie Badań Edukacyjnych:</w:t>
      </w:r>
    </w:p>
    <w:p w:rsidR="00BA0BF0" w:rsidRPr="0085218B" w:rsidRDefault="00BA0BF0" w:rsidP="000D0E7B">
      <w:pPr>
        <w:pStyle w:val="txt"/>
        <w:spacing w:line="276" w:lineRule="auto"/>
        <w:rPr>
          <w:rStyle w:val="InternetLink"/>
          <w:sz w:val="18"/>
          <w:szCs w:val="18"/>
        </w:rPr>
      </w:pPr>
      <w:r w:rsidRPr="0085218B">
        <w:rPr>
          <w:sz w:val="18"/>
          <w:szCs w:val="18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0E437D">
        <w:rPr>
          <w:i/>
          <w:sz w:val="18"/>
          <w:szCs w:val="18"/>
        </w:rPr>
        <w:t>evidence-based</w:t>
      </w:r>
      <w:proofErr w:type="spellEnd"/>
      <w:r w:rsidRPr="000E437D">
        <w:rPr>
          <w:i/>
          <w:sz w:val="18"/>
          <w:szCs w:val="18"/>
        </w:rPr>
        <w:t xml:space="preserve"> </w:t>
      </w:r>
      <w:proofErr w:type="spellStart"/>
      <w:r w:rsidRPr="000E437D">
        <w:rPr>
          <w:i/>
          <w:sz w:val="18"/>
          <w:szCs w:val="18"/>
        </w:rPr>
        <w:t>policy</w:t>
      </w:r>
      <w:proofErr w:type="spellEnd"/>
      <w:r w:rsidRPr="000E437D">
        <w:rPr>
          <w:i/>
          <w:sz w:val="18"/>
          <w:szCs w:val="18"/>
        </w:rPr>
        <w:t xml:space="preserve"> and </w:t>
      </w:r>
      <w:proofErr w:type="spellStart"/>
      <w:r w:rsidRPr="000E437D">
        <w:rPr>
          <w:i/>
          <w:sz w:val="18"/>
          <w:szCs w:val="18"/>
        </w:rPr>
        <w:t>practice</w:t>
      </w:r>
      <w:proofErr w:type="spellEnd"/>
      <w:r w:rsidRPr="0085218B">
        <w:rPr>
          <w:sz w:val="18"/>
          <w:szCs w:val="18"/>
        </w:rPr>
        <w:t xml:space="preserve">) i szczególnie dużą wagę przywiązuje do badań, których wyniki mogą zostać wykorzystane w praktyce i polityce edukacyjnej na szczeblu krajowym i lokalnym. </w:t>
      </w:r>
      <w:hyperlink r:id="rId9">
        <w:r w:rsidRPr="0085218B">
          <w:rPr>
            <w:rStyle w:val="InternetLink"/>
            <w:sz w:val="18"/>
            <w:szCs w:val="18"/>
          </w:rPr>
          <w:t>www.ibe.edu.pl</w:t>
        </w:r>
      </w:hyperlink>
    </w:p>
    <w:p w:rsidR="00BA0BF0" w:rsidRPr="0085218B" w:rsidRDefault="00BA0BF0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</w:p>
    <w:p w:rsidR="00BA0BF0" w:rsidRPr="0085218B" w:rsidRDefault="00BA0BF0" w:rsidP="000D0E7B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85218B">
        <w:rPr>
          <w:b/>
          <w:sz w:val="18"/>
          <w:szCs w:val="18"/>
          <w:u w:val="single"/>
        </w:rPr>
        <w:t>Informacje o projekcie Entuzjaści Edukacji:</w:t>
      </w:r>
    </w:p>
    <w:p w:rsidR="00BA0BF0" w:rsidRPr="00602E38" w:rsidRDefault="00BA0BF0" w:rsidP="000D0E7B">
      <w:pPr>
        <w:pStyle w:val="txt"/>
        <w:spacing w:line="276" w:lineRule="auto"/>
        <w:rPr>
          <w:rStyle w:val="InternetLink"/>
          <w:sz w:val="18"/>
          <w:szCs w:val="18"/>
          <w:lang w:val="en-US"/>
        </w:rPr>
      </w:pPr>
      <w:r w:rsidRPr="0085218B">
        <w:rPr>
          <w:sz w:val="18"/>
          <w:szCs w:val="18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0">
        <w:r w:rsidRPr="00602E38">
          <w:rPr>
            <w:rStyle w:val="InternetLink"/>
            <w:sz w:val="18"/>
            <w:szCs w:val="18"/>
            <w:lang w:val="en-US"/>
          </w:rPr>
          <w:t>www.eduentuzjasci.pl</w:t>
        </w:r>
      </w:hyperlink>
    </w:p>
    <w:p w:rsidR="00BA0BF0" w:rsidRPr="00602E38" w:rsidRDefault="00BA0BF0" w:rsidP="00BA0BF0">
      <w:pPr>
        <w:pStyle w:val="txt"/>
        <w:spacing w:line="240" w:lineRule="auto"/>
        <w:jc w:val="left"/>
        <w:rPr>
          <w:b/>
          <w:sz w:val="18"/>
          <w:szCs w:val="18"/>
          <w:u w:val="single"/>
          <w:lang w:val="en-US"/>
        </w:rPr>
      </w:pPr>
    </w:p>
    <w:p w:rsidR="002A0176" w:rsidRPr="00602E38" w:rsidRDefault="002A0176" w:rsidP="002A0176">
      <w:pPr>
        <w:pStyle w:val="txt"/>
        <w:spacing w:line="240" w:lineRule="auto"/>
        <w:jc w:val="left"/>
        <w:rPr>
          <w:b/>
          <w:sz w:val="18"/>
          <w:szCs w:val="18"/>
          <w:u w:val="single"/>
          <w:lang w:val="en-US"/>
        </w:rPr>
      </w:pPr>
    </w:p>
    <w:p w:rsidR="002A0176" w:rsidRPr="00602E38" w:rsidRDefault="002A0176" w:rsidP="002A0176">
      <w:pPr>
        <w:pStyle w:val="txt"/>
        <w:spacing w:line="240" w:lineRule="auto"/>
        <w:jc w:val="left"/>
        <w:rPr>
          <w:b/>
          <w:sz w:val="18"/>
          <w:szCs w:val="18"/>
          <w:u w:val="single"/>
          <w:lang w:val="en-US"/>
        </w:rPr>
      </w:pPr>
      <w:r w:rsidRPr="00602E38">
        <w:rPr>
          <w:b/>
          <w:sz w:val="18"/>
          <w:szCs w:val="18"/>
          <w:u w:val="single"/>
          <w:lang w:val="en-US"/>
        </w:rPr>
        <w:t xml:space="preserve">Kontakt </w:t>
      </w:r>
      <w:proofErr w:type="spellStart"/>
      <w:r w:rsidRPr="00602E38">
        <w:rPr>
          <w:b/>
          <w:sz w:val="18"/>
          <w:szCs w:val="18"/>
          <w:u w:val="single"/>
          <w:lang w:val="en-US"/>
        </w:rPr>
        <w:t>dla</w:t>
      </w:r>
      <w:proofErr w:type="spellEnd"/>
      <w:r w:rsidRPr="00602E38">
        <w:rPr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602E38">
        <w:rPr>
          <w:b/>
          <w:sz w:val="18"/>
          <w:szCs w:val="18"/>
          <w:u w:val="single"/>
          <w:lang w:val="en-US"/>
        </w:rPr>
        <w:t>mediów</w:t>
      </w:r>
      <w:proofErr w:type="spellEnd"/>
    </w:p>
    <w:p w:rsidR="002A0176" w:rsidRPr="00602E38" w:rsidRDefault="002A0176" w:rsidP="002A0176">
      <w:pPr>
        <w:pStyle w:val="txt"/>
        <w:spacing w:line="240" w:lineRule="auto"/>
        <w:jc w:val="left"/>
        <w:rPr>
          <w:sz w:val="18"/>
          <w:szCs w:val="18"/>
          <w:lang w:val="en-US"/>
        </w:rPr>
      </w:pPr>
      <w:r w:rsidRPr="00602E38">
        <w:rPr>
          <w:sz w:val="18"/>
          <w:szCs w:val="18"/>
          <w:lang w:val="en-US"/>
        </w:rPr>
        <w:t xml:space="preserve">Weronika Janda, </w:t>
      </w:r>
    </w:p>
    <w:p w:rsidR="002A0176" w:rsidRPr="00602E38" w:rsidRDefault="002A0176" w:rsidP="002A0176">
      <w:pPr>
        <w:pStyle w:val="txt"/>
        <w:spacing w:line="240" w:lineRule="auto"/>
        <w:jc w:val="left"/>
        <w:rPr>
          <w:sz w:val="18"/>
          <w:szCs w:val="18"/>
          <w:lang w:val="en-US"/>
        </w:rPr>
      </w:pPr>
      <w:r w:rsidRPr="00602E38">
        <w:rPr>
          <w:sz w:val="18"/>
          <w:szCs w:val="18"/>
          <w:lang w:val="en-US"/>
        </w:rPr>
        <w:t xml:space="preserve">Marketing &amp; Communications Consultants, </w:t>
      </w:r>
    </w:p>
    <w:p w:rsidR="002A0176" w:rsidRPr="00602E38" w:rsidRDefault="002A0176" w:rsidP="002A0176">
      <w:pPr>
        <w:pStyle w:val="txt"/>
        <w:spacing w:line="240" w:lineRule="auto"/>
        <w:jc w:val="left"/>
        <w:rPr>
          <w:rStyle w:val="InternetLink"/>
          <w:sz w:val="18"/>
          <w:szCs w:val="18"/>
          <w:lang w:val="en-US"/>
        </w:rPr>
      </w:pPr>
      <w:r w:rsidRPr="00602E38">
        <w:rPr>
          <w:sz w:val="18"/>
          <w:szCs w:val="18"/>
          <w:lang w:val="en-US"/>
        </w:rPr>
        <w:t xml:space="preserve">e-mail: </w:t>
      </w:r>
      <w:r w:rsidR="00676651" w:rsidRPr="00676651">
        <w:rPr>
          <w:sz w:val="18"/>
          <w:szCs w:val="18"/>
          <w:lang w:val="en-US"/>
        </w:rPr>
        <w:t>janda@mcconsultants.pl</w:t>
      </w:r>
    </w:p>
    <w:p w:rsidR="002A0176" w:rsidRPr="0085218B" w:rsidRDefault="002A0176" w:rsidP="002A0176">
      <w:pPr>
        <w:pStyle w:val="txt"/>
        <w:spacing w:line="240" w:lineRule="auto"/>
        <w:jc w:val="left"/>
        <w:rPr>
          <w:sz w:val="18"/>
          <w:szCs w:val="18"/>
        </w:rPr>
      </w:pPr>
      <w:r w:rsidRPr="00602E38">
        <w:rPr>
          <w:sz w:val="18"/>
          <w:szCs w:val="18"/>
          <w:lang w:val="en-US"/>
        </w:rPr>
        <w:t xml:space="preserve">tel. </w:t>
      </w:r>
      <w:proofErr w:type="spellStart"/>
      <w:r w:rsidRPr="00602E38">
        <w:rPr>
          <w:sz w:val="18"/>
          <w:szCs w:val="18"/>
          <w:lang w:val="en-US"/>
        </w:rPr>
        <w:t>kom</w:t>
      </w:r>
      <w:proofErr w:type="spellEnd"/>
      <w:r w:rsidRPr="00602E38">
        <w:rPr>
          <w:sz w:val="18"/>
          <w:szCs w:val="18"/>
          <w:lang w:val="en-US"/>
        </w:rPr>
        <w:t xml:space="preserve">. </w:t>
      </w:r>
      <w:r w:rsidRPr="0085218B">
        <w:rPr>
          <w:sz w:val="18"/>
          <w:szCs w:val="18"/>
        </w:rPr>
        <w:t>+48 662 086 500,</w:t>
      </w:r>
    </w:p>
    <w:p w:rsidR="0085218B" w:rsidRPr="0066033E" w:rsidRDefault="002A0176" w:rsidP="0066033E">
      <w:pPr>
        <w:pStyle w:val="txt"/>
        <w:spacing w:line="240" w:lineRule="auto"/>
        <w:jc w:val="left"/>
        <w:rPr>
          <w:sz w:val="18"/>
          <w:szCs w:val="18"/>
        </w:rPr>
      </w:pPr>
      <w:r w:rsidRPr="0085218B">
        <w:rPr>
          <w:sz w:val="18"/>
          <w:szCs w:val="18"/>
        </w:rPr>
        <w:t>tel. (+48 22) 40 66 100/101 wew. 23</w:t>
      </w:r>
    </w:p>
    <w:sectPr w:rsidR="0085218B" w:rsidRPr="0066033E" w:rsidSect="00721411">
      <w:headerReference w:type="default" r:id="rId11"/>
      <w:footerReference w:type="default" r:id="rId12"/>
      <w:pgSz w:w="11906" w:h="16838"/>
      <w:pgMar w:top="1676" w:right="991" w:bottom="1418" w:left="1701" w:header="709" w:footer="17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7160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96" w:rsidRDefault="00E93796">
      <w:r>
        <w:separator/>
      </w:r>
    </w:p>
  </w:endnote>
  <w:endnote w:type="continuationSeparator" w:id="0">
    <w:p w:rsidR="00E93796" w:rsidRDefault="00E9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3E" w:rsidRPr="00727094" w:rsidRDefault="0066033E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96" w:rsidRDefault="00E93796">
      <w:r>
        <w:separator/>
      </w:r>
    </w:p>
  </w:footnote>
  <w:footnote w:type="continuationSeparator" w:id="0">
    <w:p w:rsidR="00E93796" w:rsidRDefault="00E93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3E" w:rsidRPr="00AB7DC2" w:rsidRDefault="0066033E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S">
    <w15:presenceInfo w15:providerId="None" w15:userId="N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16195"/>
    <w:rsid w:val="000246C8"/>
    <w:rsid w:val="0002673B"/>
    <w:rsid w:val="00032044"/>
    <w:rsid w:val="00033E89"/>
    <w:rsid w:val="00035847"/>
    <w:rsid w:val="0004650C"/>
    <w:rsid w:val="000476E1"/>
    <w:rsid w:val="00051DCC"/>
    <w:rsid w:val="00053450"/>
    <w:rsid w:val="00054361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3302"/>
    <w:rsid w:val="0009350F"/>
    <w:rsid w:val="000969B2"/>
    <w:rsid w:val="000A003D"/>
    <w:rsid w:val="000A1A27"/>
    <w:rsid w:val="000A3CBE"/>
    <w:rsid w:val="000A5EB1"/>
    <w:rsid w:val="000A63C9"/>
    <w:rsid w:val="000A7451"/>
    <w:rsid w:val="000B3CD5"/>
    <w:rsid w:val="000C00CF"/>
    <w:rsid w:val="000C06C2"/>
    <w:rsid w:val="000D0E7B"/>
    <w:rsid w:val="000D204A"/>
    <w:rsid w:val="000D20D5"/>
    <w:rsid w:val="000E1445"/>
    <w:rsid w:val="000E437D"/>
    <w:rsid w:val="000F0930"/>
    <w:rsid w:val="000F54DB"/>
    <w:rsid w:val="001028A2"/>
    <w:rsid w:val="001031D2"/>
    <w:rsid w:val="0010627F"/>
    <w:rsid w:val="001125FD"/>
    <w:rsid w:val="00115014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1B49"/>
    <w:rsid w:val="00172085"/>
    <w:rsid w:val="00173E40"/>
    <w:rsid w:val="00176961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30D7"/>
    <w:rsid w:val="001D7A44"/>
    <w:rsid w:val="001E1A5B"/>
    <w:rsid w:val="001E1D2D"/>
    <w:rsid w:val="001E366A"/>
    <w:rsid w:val="001E717E"/>
    <w:rsid w:val="001E7BB7"/>
    <w:rsid w:val="001F0DBC"/>
    <w:rsid w:val="001F53D6"/>
    <w:rsid w:val="001F5487"/>
    <w:rsid w:val="001F5A39"/>
    <w:rsid w:val="001F6F48"/>
    <w:rsid w:val="001F780D"/>
    <w:rsid w:val="00207DB8"/>
    <w:rsid w:val="0021728F"/>
    <w:rsid w:val="0022317B"/>
    <w:rsid w:val="00230EDF"/>
    <w:rsid w:val="0023103D"/>
    <w:rsid w:val="00232919"/>
    <w:rsid w:val="0023309D"/>
    <w:rsid w:val="00235109"/>
    <w:rsid w:val="00236281"/>
    <w:rsid w:val="00273F4F"/>
    <w:rsid w:val="0027637B"/>
    <w:rsid w:val="002768DB"/>
    <w:rsid w:val="00276A3B"/>
    <w:rsid w:val="00280F53"/>
    <w:rsid w:val="00281C4D"/>
    <w:rsid w:val="00285441"/>
    <w:rsid w:val="00285D93"/>
    <w:rsid w:val="0028724A"/>
    <w:rsid w:val="00287586"/>
    <w:rsid w:val="00294DE9"/>
    <w:rsid w:val="002A0034"/>
    <w:rsid w:val="002A0176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48A2"/>
    <w:rsid w:val="002E6616"/>
    <w:rsid w:val="002E70FD"/>
    <w:rsid w:val="002E7332"/>
    <w:rsid w:val="002F07E7"/>
    <w:rsid w:val="00300839"/>
    <w:rsid w:val="00301238"/>
    <w:rsid w:val="0030175D"/>
    <w:rsid w:val="00302006"/>
    <w:rsid w:val="00302955"/>
    <w:rsid w:val="00303CA7"/>
    <w:rsid w:val="00305637"/>
    <w:rsid w:val="00313015"/>
    <w:rsid w:val="00317DCF"/>
    <w:rsid w:val="00322FAE"/>
    <w:rsid w:val="00323B21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6327B"/>
    <w:rsid w:val="003664D7"/>
    <w:rsid w:val="00375683"/>
    <w:rsid w:val="00376109"/>
    <w:rsid w:val="003761C5"/>
    <w:rsid w:val="00380C14"/>
    <w:rsid w:val="00383BC7"/>
    <w:rsid w:val="00383BC9"/>
    <w:rsid w:val="0038688F"/>
    <w:rsid w:val="00387F89"/>
    <w:rsid w:val="00390A6B"/>
    <w:rsid w:val="003943E9"/>
    <w:rsid w:val="003976FD"/>
    <w:rsid w:val="003A1EC5"/>
    <w:rsid w:val="003A202E"/>
    <w:rsid w:val="003A3351"/>
    <w:rsid w:val="003A5A1E"/>
    <w:rsid w:val="003A7D23"/>
    <w:rsid w:val="003B1AC2"/>
    <w:rsid w:val="003B563F"/>
    <w:rsid w:val="003B5686"/>
    <w:rsid w:val="003B6D9A"/>
    <w:rsid w:val="003C1A4C"/>
    <w:rsid w:val="003C3088"/>
    <w:rsid w:val="003C4244"/>
    <w:rsid w:val="003C5F0E"/>
    <w:rsid w:val="003D7112"/>
    <w:rsid w:val="003E17C5"/>
    <w:rsid w:val="003E39E2"/>
    <w:rsid w:val="003E7CE7"/>
    <w:rsid w:val="003F31E9"/>
    <w:rsid w:val="004000F2"/>
    <w:rsid w:val="0040063B"/>
    <w:rsid w:val="00401CC4"/>
    <w:rsid w:val="00406087"/>
    <w:rsid w:val="0040784D"/>
    <w:rsid w:val="00413F96"/>
    <w:rsid w:val="004164C4"/>
    <w:rsid w:val="00421576"/>
    <w:rsid w:val="004255BF"/>
    <w:rsid w:val="0042593C"/>
    <w:rsid w:val="00427C85"/>
    <w:rsid w:val="00431604"/>
    <w:rsid w:val="00433842"/>
    <w:rsid w:val="00434878"/>
    <w:rsid w:val="00435B08"/>
    <w:rsid w:val="00436FDD"/>
    <w:rsid w:val="004409A2"/>
    <w:rsid w:val="00452DF0"/>
    <w:rsid w:val="004532CE"/>
    <w:rsid w:val="004567F6"/>
    <w:rsid w:val="00456856"/>
    <w:rsid w:val="004616FC"/>
    <w:rsid w:val="0046354F"/>
    <w:rsid w:val="00481508"/>
    <w:rsid w:val="00483A44"/>
    <w:rsid w:val="004854F2"/>
    <w:rsid w:val="004913BD"/>
    <w:rsid w:val="00496AB3"/>
    <w:rsid w:val="004A0F09"/>
    <w:rsid w:val="004A2D81"/>
    <w:rsid w:val="004A4C9D"/>
    <w:rsid w:val="004B75D6"/>
    <w:rsid w:val="004C155E"/>
    <w:rsid w:val="004D3E27"/>
    <w:rsid w:val="004D61C8"/>
    <w:rsid w:val="004E13CA"/>
    <w:rsid w:val="004E2591"/>
    <w:rsid w:val="004E2C26"/>
    <w:rsid w:val="004E5BB5"/>
    <w:rsid w:val="004E6327"/>
    <w:rsid w:val="004E6FBA"/>
    <w:rsid w:val="004F39CB"/>
    <w:rsid w:val="004F6D7B"/>
    <w:rsid w:val="004F736D"/>
    <w:rsid w:val="00510CE4"/>
    <w:rsid w:val="005201F9"/>
    <w:rsid w:val="005207F8"/>
    <w:rsid w:val="00520D4E"/>
    <w:rsid w:val="00521EB1"/>
    <w:rsid w:val="00522F0A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77063"/>
    <w:rsid w:val="005831CA"/>
    <w:rsid w:val="005841B4"/>
    <w:rsid w:val="005878DF"/>
    <w:rsid w:val="005958F2"/>
    <w:rsid w:val="005A1EAC"/>
    <w:rsid w:val="005A4CE0"/>
    <w:rsid w:val="005A774F"/>
    <w:rsid w:val="005B0FE0"/>
    <w:rsid w:val="005B459C"/>
    <w:rsid w:val="005B5D0F"/>
    <w:rsid w:val="005C2062"/>
    <w:rsid w:val="005C72F0"/>
    <w:rsid w:val="005D0DC7"/>
    <w:rsid w:val="005D60C4"/>
    <w:rsid w:val="005E0E9D"/>
    <w:rsid w:val="005E1DBB"/>
    <w:rsid w:val="005E223A"/>
    <w:rsid w:val="005E326E"/>
    <w:rsid w:val="005E5716"/>
    <w:rsid w:val="005F306F"/>
    <w:rsid w:val="005F42F4"/>
    <w:rsid w:val="005F7C1A"/>
    <w:rsid w:val="00602E38"/>
    <w:rsid w:val="0060612B"/>
    <w:rsid w:val="00611F81"/>
    <w:rsid w:val="006147A0"/>
    <w:rsid w:val="00615948"/>
    <w:rsid w:val="00615BC1"/>
    <w:rsid w:val="00615E96"/>
    <w:rsid w:val="00620A92"/>
    <w:rsid w:val="006234E9"/>
    <w:rsid w:val="0062398E"/>
    <w:rsid w:val="006431DC"/>
    <w:rsid w:val="00643AE0"/>
    <w:rsid w:val="00650FC9"/>
    <w:rsid w:val="006550C6"/>
    <w:rsid w:val="0066033E"/>
    <w:rsid w:val="006649C2"/>
    <w:rsid w:val="00664A0C"/>
    <w:rsid w:val="0066553D"/>
    <w:rsid w:val="006667A1"/>
    <w:rsid w:val="00667002"/>
    <w:rsid w:val="00667148"/>
    <w:rsid w:val="006710F7"/>
    <w:rsid w:val="006727D9"/>
    <w:rsid w:val="006753D6"/>
    <w:rsid w:val="00676651"/>
    <w:rsid w:val="006805DF"/>
    <w:rsid w:val="0068314A"/>
    <w:rsid w:val="0068340B"/>
    <w:rsid w:val="0068411D"/>
    <w:rsid w:val="00691FB6"/>
    <w:rsid w:val="006951B5"/>
    <w:rsid w:val="0069698D"/>
    <w:rsid w:val="006A0E90"/>
    <w:rsid w:val="006A3664"/>
    <w:rsid w:val="006A4429"/>
    <w:rsid w:val="006A7D97"/>
    <w:rsid w:val="006B0238"/>
    <w:rsid w:val="006B060A"/>
    <w:rsid w:val="006B4539"/>
    <w:rsid w:val="006C2842"/>
    <w:rsid w:val="006C3965"/>
    <w:rsid w:val="006C4CB5"/>
    <w:rsid w:val="006C6FB1"/>
    <w:rsid w:val="006D181A"/>
    <w:rsid w:val="006D34E4"/>
    <w:rsid w:val="006D795C"/>
    <w:rsid w:val="006E29B8"/>
    <w:rsid w:val="006E653A"/>
    <w:rsid w:val="006F2AC9"/>
    <w:rsid w:val="006F2AD5"/>
    <w:rsid w:val="006F570A"/>
    <w:rsid w:val="006F73DE"/>
    <w:rsid w:val="006F7430"/>
    <w:rsid w:val="007003A0"/>
    <w:rsid w:val="00702370"/>
    <w:rsid w:val="00703F51"/>
    <w:rsid w:val="00706008"/>
    <w:rsid w:val="00710967"/>
    <w:rsid w:val="007127EB"/>
    <w:rsid w:val="0071323E"/>
    <w:rsid w:val="007158F7"/>
    <w:rsid w:val="00715BDF"/>
    <w:rsid w:val="00720915"/>
    <w:rsid w:val="007213DE"/>
    <w:rsid w:val="00721411"/>
    <w:rsid w:val="00723604"/>
    <w:rsid w:val="007256A8"/>
    <w:rsid w:val="00727094"/>
    <w:rsid w:val="00732DBA"/>
    <w:rsid w:val="00735224"/>
    <w:rsid w:val="00735A61"/>
    <w:rsid w:val="007373FC"/>
    <w:rsid w:val="00740CB3"/>
    <w:rsid w:val="00747E24"/>
    <w:rsid w:val="00751088"/>
    <w:rsid w:val="007606EB"/>
    <w:rsid w:val="00761139"/>
    <w:rsid w:val="00761DFF"/>
    <w:rsid w:val="00772135"/>
    <w:rsid w:val="0077220C"/>
    <w:rsid w:val="00772B3F"/>
    <w:rsid w:val="0079231A"/>
    <w:rsid w:val="007A152E"/>
    <w:rsid w:val="007A446E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3828"/>
    <w:rsid w:val="007F4941"/>
    <w:rsid w:val="007F5C2D"/>
    <w:rsid w:val="007F62F8"/>
    <w:rsid w:val="00802CDF"/>
    <w:rsid w:val="00807CC1"/>
    <w:rsid w:val="00814BDB"/>
    <w:rsid w:val="0081728A"/>
    <w:rsid w:val="008172E0"/>
    <w:rsid w:val="00820F3D"/>
    <w:rsid w:val="00825270"/>
    <w:rsid w:val="00827451"/>
    <w:rsid w:val="0083055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218B"/>
    <w:rsid w:val="00854B29"/>
    <w:rsid w:val="00856C34"/>
    <w:rsid w:val="008574CE"/>
    <w:rsid w:val="0087000D"/>
    <w:rsid w:val="00871D0D"/>
    <w:rsid w:val="00872389"/>
    <w:rsid w:val="008728D3"/>
    <w:rsid w:val="00875FF7"/>
    <w:rsid w:val="00882D57"/>
    <w:rsid w:val="00885BDE"/>
    <w:rsid w:val="00887756"/>
    <w:rsid w:val="008900A6"/>
    <w:rsid w:val="00891323"/>
    <w:rsid w:val="0089383C"/>
    <w:rsid w:val="008941AF"/>
    <w:rsid w:val="008964FC"/>
    <w:rsid w:val="008A2A59"/>
    <w:rsid w:val="008B2027"/>
    <w:rsid w:val="008C0071"/>
    <w:rsid w:val="008C18A3"/>
    <w:rsid w:val="008D16DE"/>
    <w:rsid w:val="008F2619"/>
    <w:rsid w:val="008F6C4F"/>
    <w:rsid w:val="009049C4"/>
    <w:rsid w:val="009057C6"/>
    <w:rsid w:val="009152CE"/>
    <w:rsid w:val="00915B91"/>
    <w:rsid w:val="0092617A"/>
    <w:rsid w:val="0093393F"/>
    <w:rsid w:val="00935A72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2C8F"/>
    <w:rsid w:val="00991F05"/>
    <w:rsid w:val="009A3D62"/>
    <w:rsid w:val="009A6ADC"/>
    <w:rsid w:val="009A6B78"/>
    <w:rsid w:val="009B0FF7"/>
    <w:rsid w:val="009B531B"/>
    <w:rsid w:val="009C1DD4"/>
    <w:rsid w:val="009C3AE4"/>
    <w:rsid w:val="009C657F"/>
    <w:rsid w:val="009D2588"/>
    <w:rsid w:val="009D299B"/>
    <w:rsid w:val="009D5ED1"/>
    <w:rsid w:val="009D71DB"/>
    <w:rsid w:val="009D78A8"/>
    <w:rsid w:val="009E0C70"/>
    <w:rsid w:val="009E212D"/>
    <w:rsid w:val="009E4757"/>
    <w:rsid w:val="009F4798"/>
    <w:rsid w:val="00A035BF"/>
    <w:rsid w:val="00A04A4A"/>
    <w:rsid w:val="00A251EF"/>
    <w:rsid w:val="00A25E0F"/>
    <w:rsid w:val="00A30C4A"/>
    <w:rsid w:val="00A32645"/>
    <w:rsid w:val="00A3611A"/>
    <w:rsid w:val="00A36E7A"/>
    <w:rsid w:val="00A41130"/>
    <w:rsid w:val="00A437B7"/>
    <w:rsid w:val="00A44C81"/>
    <w:rsid w:val="00A73E20"/>
    <w:rsid w:val="00A76D9B"/>
    <w:rsid w:val="00A8118A"/>
    <w:rsid w:val="00A90F8A"/>
    <w:rsid w:val="00A92939"/>
    <w:rsid w:val="00A95963"/>
    <w:rsid w:val="00A95F4C"/>
    <w:rsid w:val="00A96AE0"/>
    <w:rsid w:val="00AA6ADB"/>
    <w:rsid w:val="00AA7038"/>
    <w:rsid w:val="00AA7F31"/>
    <w:rsid w:val="00AB76E8"/>
    <w:rsid w:val="00AB7DC2"/>
    <w:rsid w:val="00AC0B31"/>
    <w:rsid w:val="00AC3B28"/>
    <w:rsid w:val="00AC4482"/>
    <w:rsid w:val="00AC6810"/>
    <w:rsid w:val="00AC7C56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3B1"/>
    <w:rsid w:val="00B24596"/>
    <w:rsid w:val="00B33EB2"/>
    <w:rsid w:val="00B3424F"/>
    <w:rsid w:val="00B44109"/>
    <w:rsid w:val="00B47DE6"/>
    <w:rsid w:val="00B47F5C"/>
    <w:rsid w:val="00B5196C"/>
    <w:rsid w:val="00B51C9C"/>
    <w:rsid w:val="00B57784"/>
    <w:rsid w:val="00B71716"/>
    <w:rsid w:val="00B720C2"/>
    <w:rsid w:val="00B76566"/>
    <w:rsid w:val="00B76C91"/>
    <w:rsid w:val="00B7748F"/>
    <w:rsid w:val="00B8552A"/>
    <w:rsid w:val="00B90430"/>
    <w:rsid w:val="00B90E07"/>
    <w:rsid w:val="00B91F1B"/>
    <w:rsid w:val="00B945FA"/>
    <w:rsid w:val="00B94F79"/>
    <w:rsid w:val="00BA0BF0"/>
    <w:rsid w:val="00BA2BE1"/>
    <w:rsid w:val="00BA47C6"/>
    <w:rsid w:val="00BA4E20"/>
    <w:rsid w:val="00BB0EC3"/>
    <w:rsid w:val="00BB22B2"/>
    <w:rsid w:val="00BB2703"/>
    <w:rsid w:val="00BC1521"/>
    <w:rsid w:val="00BC503D"/>
    <w:rsid w:val="00BD01F9"/>
    <w:rsid w:val="00BD0512"/>
    <w:rsid w:val="00BD5476"/>
    <w:rsid w:val="00BE0F25"/>
    <w:rsid w:val="00BE365E"/>
    <w:rsid w:val="00BE4CD2"/>
    <w:rsid w:val="00BE58B7"/>
    <w:rsid w:val="00BF2778"/>
    <w:rsid w:val="00C00F1F"/>
    <w:rsid w:val="00C04974"/>
    <w:rsid w:val="00C07BE0"/>
    <w:rsid w:val="00C1041B"/>
    <w:rsid w:val="00C13D4D"/>
    <w:rsid w:val="00C15835"/>
    <w:rsid w:val="00C34CFF"/>
    <w:rsid w:val="00C420C1"/>
    <w:rsid w:val="00C43B25"/>
    <w:rsid w:val="00C4536B"/>
    <w:rsid w:val="00C454D3"/>
    <w:rsid w:val="00C50700"/>
    <w:rsid w:val="00C52752"/>
    <w:rsid w:val="00C6246F"/>
    <w:rsid w:val="00C66AA8"/>
    <w:rsid w:val="00C838F7"/>
    <w:rsid w:val="00C86249"/>
    <w:rsid w:val="00C872F5"/>
    <w:rsid w:val="00C921C4"/>
    <w:rsid w:val="00C96F2E"/>
    <w:rsid w:val="00C97A8F"/>
    <w:rsid w:val="00CA17DA"/>
    <w:rsid w:val="00CA25B5"/>
    <w:rsid w:val="00CA5613"/>
    <w:rsid w:val="00CA57C7"/>
    <w:rsid w:val="00CA582B"/>
    <w:rsid w:val="00CB1429"/>
    <w:rsid w:val="00CB1F1C"/>
    <w:rsid w:val="00CB22A3"/>
    <w:rsid w:val="00CB2719"/>
    <w:rsid w:val="00CC0081"/>
    <w:rsid w:val="00CC2315"/>
    <w:rsid w:val="00CC490E"/>
    <w:rsid w:val="00CD25F5"/>
    <w:rsid w:val="00CD38B5"/>
    <w:rsid w:val="00CD7031"/>
    <w:rsid w:val="00CF1490"/>
    <w:rsid w:val="00CF2F46"/>
    <w:rsid w:val="00CF37F4"/>
    <w:rsid w:val="00D04F19"/>
    <w:rsid w:val="00D05643"/>
    <w:rsid w:val="00D124EC"/>
    <w:rsid w:val="00D1420E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7CE5"/>
    <w:rsid w:val="00D95456"/>
    <w:rsid w:val="00DA1EC4"/>
    <w:rsid w:val="00DA5DA5"/>
    <w:rsid w:val="00DA7966"/>
    <w:rsid w:val="00DB01FC"/>
    <w:rsid w:val="00DB356A"/>
    <w:rsid w:val="00DB6353"/>
    <w:rsid w:val="00DC682E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E6FBC"/>
    <w:rsid w:val="00DE70D4"/>
    <w:rsid w:val="00DF19C6"/>
    <w:rsid w:val="00E107F8"/>
    <w:rsid w:val="00E25AD3"/>
    <w:rsid w:val="00E25B86"/>
    <w:rsid w:val="00E26A0D"/>
    <w:rsid w:val="00E35051"/>
    <w:rsid w:val="00E42E6C"/>
    <w:rsid w:val="00E473B0"/>
    <w:rsid w:val="00E57371"/>
    <w:rsid w:val="00E674E5"/>
    <w:rsid w:val="00E67F78"/>
    <w:rsid w:val="00E71F38"/>
    <w:rsid w:val="00E74941"/>
    <w:rsid w:val="00E8043C"/>
    <w:rsid w:val="00E8066B"/>
    <w:rsid w:val="00E82AA5"/>
    <w:rsid w:val="00E85A8F"/>
    <w:rsid w:val="00E927B4"/>
    <w:rsid w:val="00E93796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B79A4"/>
    <w:rsid w:val="00EC1B34"/>
    <w:rsid w:val="00EC5D55"/>
    <w:rsid w:val="00EC7C06"/>
    <w:rsid w:val="00EE226D"/>
    <w:rsid w:val="00EE3D83"/>
    <w:rsid w:val="00EF2330"/>
    <w:rsid w:val="00F00C75"/>
    <w:rsid w:val="00F01284"/>
    <w:rsid w:val="00F02161"/>
    <w:rsid w:val="00F034C8"/>
    <w:rsid w:val="00F07887"/>
    <w:rsid w:val="00F11EFB"/>
    <w:rsid w:val="00F1323A"/>
    <w:rsid w:val="00F16DE4"/>
    <w:rsid w:val="00F1759F"/>
    <w:rsid w:val="00F17EC3"/>
    <w:rsid w:val="00F230C0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4147"/>
    <w:rsid w:val="00F56655"/>
    <w:rsid w:val="00F56A0C"/>
    <w:rsid w:val="00F62659"/>
    <w:rsid w:val="00F65649"/>
    <w:rsid w:val="00F6573B"/>
    <w:rsid w:val="00F65C20"/>
    <w:rsid w:val="00F660A3"/>
    <w:rsid w:val="00F72EC8"/>
    <w:rsid w:val="00F80D0E"/>
    <w:rsid w:val="00F8106B"/>
    <w:rsid w:val="00F85743"/>
    <w:rsid w:val="00F92CCE"/>
    <w:rsid w:val="00FA3B9A"/>
    <w:rsid w:val="00FB13A2"/>
    <w:rsid w:val="00FB27B4"/>
    <w:rsid w:val="00FB3E0B"/>
    <w:rsid w:val="00FB5FA9"/>
    <w:rsid w:val="00FB7614"/>
    <w:rsid w:val="00FB76F2"/>
    <w:rsid w:val="00FC0A43"/>
    <w:rsid w:val="00FD14A3"/>
    <w:rsid w:val="00FD3A06"/>
    <w:rsid w:val="00FD5E00"/>
    <w:rsid w:val="00FD6B6A"/>
    <w:rsid w:val="00FF0C42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InternetLink">
    <w:name w:val="Internet Link"/>
    <w:rsid w:val="002A0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1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entuzjasci.pl/badania/110-badanie/235-uwarunkowania-decyzji-edukacyjnych-badanie-panelowe-gospodarstw-domowych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entuzjasc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.edu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79969-A86D-4A40-B635-8D77700E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Małgorzata Chrobak</cp:lastModifiedBy>
  <cp:revision>4</cp:revision>
  <cp:lastPrinted>2015-05-15T11:36:00Z</cp:lastPrinted>
  <dcterms:created xsi:type="dcterms:W3CDTF">2015-05-15T13:53:00Z</dcterms:created>
  <dcterms:modified xsi:type="dcterms:W3CDTF">2015-05-15T14:05:00Z</dcterms:modified>
</cp:coreProperties>
</file>