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FD" w:rsidRPr="005B7FFD" w:rsidRDefault="005B7FFD" w:rsidP="005B7FFD">
      <w:pPr>
        <w:spacing w:before="240" w:line="276" w:lineRule="auto"/>
        <w:jc w:val="right"/>
        <w:rPr>
          <w:rFonts w:asciiTheme="minorHAnsi" w:hAnsiTheme="minorHAnsi"/>
          <w:sz w:val="22"/>
          <w:szCs w:val="22"/>
          <w:lang w:val="pl-PL"/>
        </w:rPr>
      </w:pPr>
      <w:r w:rsidRPr="005B7FFD">
        <w:rPr>
          <w:rFonts w:asciiTheme="minorHAnsi" w:hAnsiTheme="minorHAnsi"/>
          <w:sz w:val="22"/>
          <w:szCs w:val="22"/>
          <w:lang w:val="pl-PL"/>
        </w:rPr>
        <w:t xml:space="preserve">Warszawa, </w:t>
      </w:r>
      <w:r w:rsidR="0051681B">
        <w:rPr>
          <w:rFonts w:asciiTheme="minorHAnsi" w:hAnsiTheme="minorHAnsi"/>
          <w:sz w:val="22"/>
          <w:szCs w:val="22"/>
          <w:lang w:val="pl-PL"/>
        </w:rPr>
        <w:t>9 lipca</w:t>
      </w:r>
      <w:r w:rsidR="000031CC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5B7FFD">
        <w:rPr>
          <w:rFonts w:asciiTheme="minorHAnsi" w:hAnsiTheme="minorHAnsi"/>
          <w:sz w:val="22"/>
          <w:szCs w:val="22"/>
          <w:lang w:val="pl-PL"/>
        </w:rPr>
        <w:t>2015 r.</w:t>
      </w:r>
    </w:p>
    <w:p w:rsidR="005B7FFD" w:rsidRDefault="005B7FFD" w:rsidP="005B7FFD">
      <w:pPr>
        <w:spacing w:line="276" w:lineRule="auto"/>
        <w:rPr>
          <w:rFonts w:asciiTheme="minorHAnsi" w:hAnsiTheme="minorHAnsi" w:cs="Arial"/>
          <w:b/>
          <w:color w:val="E36C0A" w:themeColor="accent6" w:themeShade="BF"/>
          <w:sz w:val="28"/>
          <w:szCs w:val="28"/>
          <w:lang w:val="pl-PL"/>
        </w:rPr>
      </w:pPr>
    </w:p>
    <w:p w:rsidR="005B7FFD" w:rsidRDefault="005B7FFD" w:rsidP="005B7FFD">
      <w:pPr>
        <w:spacing w:line="276" w:lineRule="auto"/>
        <w:rPr>
          <w:rFonts w:asciiTheme="minorHAnsi" w:hAnsiTheme="minorHAnsi" w:cs="Arial"/>
          <w:b/>
          <w:color w:val="E36C0A" w:themeColor="accent6" w:themeShade="BF"/>
          <w:sz w:val="28"/>
          <w:szCs w:val="28"/>
          <w:lang w:val="pl-PL"/>
        </w:rPr>
      </w:pPr>
      <w:r w:rsidRPr="005B7FFD">
        <w:rPr>
          <w:rFonts w:asciiTheme="minorHAnsi" w:hAnsiTheme="minorHAnsi" w:cs="Arial"/>
          <w:b/>
          <w:color w:val="E36C0A" w:themeColor="accent6" w:themeShade="BF"/>
          <w:sz w:val="28"/>
          <w:szCs w:val="28"/>
          <w:lang w:val="pl-PL"/>
        </w:rPr>
        <w:t>Informacja prasowa</w:t>
      </w:r>
    </w:p>
    <w:p w:rsidR="005B7FFD" w:rsidRDefault="005B7FFD" w:rsidP="005B7FFD">
      <w:pPr>
        <w:spacing w:line="276" w:lineRule="auto"/>
        <w:rPr>
          <w:rFonts w:asciiTheme="minorHAnsi" w:hAnsiTheme="minorHAnsi" w:cs="Arial"/>
          <w:b/>
          <w:color w:val="E36C0A" w:themeColor="accent6" w:themeShade="BF"/>
          <w:sz w:val="28"/>
          <w:szCs w:val="28"/>
          <w:lang w:val="pl-PL"/>
        </w:rPr>
      </w:pPr>
    </w:p>
    <w:p w:rsidR="000031CC" w:rsidRPr="000031CC" w:rsidRDefault="000031CC" w:rsidP="000031CC">
      <w:pPr>
        <w:spacing w:line="276" w:lineRule="auto"/>
        <w:rPr>
          <w:rFonts w:asciiTheme="minorHAnsi" w:hAnsiTheme="minorHAnsi" w:cs="Arial"/>
          <w:b/>
          <w:color w:val="E36C0A" w:themeColor="accent6" w:themeShade="BF"/>
          <w:sz w:val="22"/>
          <w:szCs w:val="22"/>
          <w:lang w:val="pl-PL"/>
        </w:rPr>
      </w:pPr>
      <w:r w:rsidRPr="000031CC">
        <w:rPr>
          <w:rFonts w:asciiTheme="minorHAnsi" w:hAnsiTheme="minorHAnsi" w:cs="Arial"/>
          <w:b/>
          <w:color w:val="E36C0A" w:themeColor="accent6" w:themeShade="BF"/>
          <w:sz w:val="22"/>
          <w:szCs w:val="22"/>
          <w:lang w:val="pl-PL"/>
        </w:rPr>
        <w:t>Rozmowy o dorastaniu</w:t>
      </w:r>
    </w:p>
    <w:p w:rsidR="000031CC" w:rsidRDefault="000031CC" w:rsidP="000031CC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val="pl-PL"/>
        </w:rPr>
      </w:pPr>
    </w:p>
    <w:p w:rsidR="000031CC" w:rsidRPr="000031CC" w:rsidRDefault="000031CC" w:rsidP="000031CC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val="pl-PL"/>
        </w:rPr>
      </w:pPr>
      <w:r w:rsidRPr="000031CC">
        <w:rPr>
          <w:rFonts w:asciiTheme="minorHAnsi" w:hAnsiTheme="minorHAnsi" w:cs="Arial"/>
          <w:b/>
          <w:sz w:val="22"/>
          <w:szCs w:val="22"/>
          <w:lang w:val="pl-PL"/>
        </w:rPr>
        <w:t>Nie – o czym mówić, ale KIEDY – to główny dylemat rodziców w sprawie edukacji psychoseksualnej dzieci. Rodzice i młodzi dorośli są zgodni: tematy związane z rozwojem psychoseksualnym są istotne. Młodzi chcą o nich rozmawiać na zajęciach w szkole. Rodzice sygnalizują potrzebę rozbudowania swoich kompetencji rodzicielskich.</w:t>
      </w:r>
    </w:p>
    <w:p w:rsidR="000031CC" w:rsidRDefault="000031CC" w:rsidP="000031CC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0031CC" w:rsidRPr="000031CC" w:rsidRDefault="000031CC" w:rsidP="000031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MyriadPro-Semibold"/>
          <w:sz w:val="22"/>
          <w:szCs w:val="22"/>
          <w:lang w:val="pl-PL" w:eastAsia="pl-PL"/>
        </w:rPr>
      </w:pP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 xml:space="preserve">Badanie ilościowe </w:t>
      </w:r>
      <w:r w:rsidR="00BF1846">
        <w:rPr>
          <w:rFonts w:asciiTheme="minorHAnsi" w:hAnsiTheme="minorHAnsi" w:cs="MyriadPro-Semibold"/>
          <w:sz w:val="22"/>
          <w:szCs w:val="22"/>
          <w:lang w:val="pl-PL" w:eastAsia="pl-PL"/>
        </w:rPr>
        <w:t>„</w:t>
      </w: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>Opinie i oczekiwania młodych dorosłych (osiemnastolatków) oraz rodziców dzieci w wieku szkolnym wobec edukacji dotyczącej rozwoju psychoseksualnego i seksualności</w:t>
      </w:r>
      <w:r w:rsidR="00BF1846">
        <w:rPr>
          <w:rFonts w:asciiTheme="minorHAnsi" w:hAnsiTheme="minorHAnsi" w:cs="MyriadPro-Semibold"/>
          <w:sz w:val="22"/>
          <w:szCs w:val="22"/>
          <w:lang w:val="pl-PL" w:eastAsia="pl-PL"/>
        </w:rPr>
        <w:t>”</w:t>
      </w: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 xml:space="preserve"> przeprowadzono na reprezentatywnych próbach:</w:t>
      </w:r>
    </w:p>
    <w:p w:rsidR="000031CC" w:rsidRPr="00CF4722" w:rsidRDefault="000031CC" w:rsidP="000031C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4722">
        <w:rPr>
          <w:rFonts w:ascii="Arial" w:hAnsi="Arial" w:cs="Arial"/>
          <w:color w:val="000000" w:themeColor="text1"/>
          <w:sz w:val="20"/>
          <w:szCs w:val="20"/>
        </w:rPr>
        <w:t>1246 18-latków (młodych dorosłych)</w:t>
      </w:r>
    </w:p>
    <w:p w:rsidR="000031CC" w:rsidRPr="00CF4722" w:rsidRDefault="000031CC" w:rsidP="000031C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4722">
        <w:rPr>
          <w:rFonts w:ascii="Arial" w:hAnsi="Arial" w:cs="Arial"/>
          <w:color w:val="000000" w:themeColor="text1"/>
          <w:sz w:val="20"/>
          <w:szCs w:val="20"/>
        </w:rPr>
        <w:t>2526 rodziców dzieci w wieku 6-17 lat</w:t>
      </w:r>
    </w:p>
    <w:p w:rsidR="000031CC" w:rsidRPr="000031CC" w:rsidRDefault="000031CC" w:rsidP="000031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MyriadPro-Semibold"/>
          <w:sz w:val="22"/>
          <w:szCs w:val="22"/>
          <w:lang w:val="pl-PL" w:eastAsia="pl-PL"/>
        </w:rPr>
      </w:pP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>Badanie poprzedzone było dwoma komponentami jakościowymi. Dzięki temu m.in. sporządzono listę 31 tematów, co do których zgad</w:t>
      </w:r>
      <w:r w:rsidR="00EB4F64">
        <w:rPr>
          <w:rFonts w:asciiTheme="minorHAnsi" w:hAnsiTheme="minorHAnsi" w:cs="MyriadPro-Semibold"/>
          <w:sz w:val="22"/>
          <w:szCs w:val="22"/>
          <w:lang w:val="pl-PL" w:eastAsia="pl-PL"/>
        </w:rPr>
        <w:t>z</w:t>
      </w: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 xml:space="preserve">a się ogół rodziców i ogół uczniów u progu dorosłości.  </w:t>
      </w:r>
    </w:p>
    <w:p w:rsidR="000031CC" w:rsidRDefault="000031CC" w:rsidP="000031CC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031CC" w:rsidRPr="000031CC" w:rsidRDefault="000031CC" w:rsidP="000031CC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MyriadPro-Light" w:hAnsiTheme="minorHAnsi" w:cs="MyriadPro-Light"/>
          <w:b/>
          <w:sz w:val="22"/>
          <w:szCs w:val="22"/>
          <w:lang w:val="pl-PL" w:eastAsia="pl-PL"/>
        </w:rPr>
      </w:pPr>
      <w:r w:rsidRPr="000031CC">
        <w:rPr>
          <w:rFonts w:asciiTheme="minorHAnsi" w:eastAsia="MyriadPro-Light" w:hAnsiTheme="minorHAnsi" w:cs="MyriadPro-Light"/>
          <w:b/>
          <w:sz w:val="22"/>
          <w:szCs w:val="22"/>
          <w:lang w:val="pl-PL" w:eastAsia="pl-PL"/>
        </w:rPr>
        <w:t>Tematy dostosowane do wieku dziecka</w:t>
      </w:r>
    </w:p>
    <w:p w:rsidR="000031CC" w:rsidRPr="000031CC" w:rsidRDefault="000031CC" w:rsidP="000031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MyriadPro-Semibold"/>
          <w:sz w:val="22"/>
          <w:szCs w:val="22"/>
          <w:lang w:val="pl-PL" w:eastAsia="pl-PL"/>
        </w:rPr>
      </w:pP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>Już w badaniu jakościowym widać było, że rodzice są za edukacją dzieci w sprawach rozwoju psychoseksualnego, a ich główny dylemat dotyczy określenia wieku, w którym warto poruszyć dane tematy. W badaniu ilościowym potwierdziliśmy, że 50% badanych rodziców obawia się, by tematów z obszaru seksualności człowieka nie poruszać zbyt wcześnie. Rodzice bardziej liberalni odczuwają to nieco rzadziej (45%) niż rodzice bardziej tradycyjni (55%), ale prawdziwa przyczyna tkwi w czym innym – niezależnie od światopoglądu blisko połowa rodziców (45%) przyznaje, że nie wie, ile dziecko w danym wieku powinno wiedzieć, ponad 1/3 – że nie ma też wystarczającej wiedzy na temat rozwoju psychoseksualnego, 44% dostrzega skrępowanie dziecka i nie wie</w:t>
      </w:r>
      <w:r w:rsidR="00EB4F64">
        <w:rPr>
          <w:rFonts w:asciiTheme="minorHAnsi" w:hAnsiTheme="minorHAnsi" w:cs="MyriadPro-Semibold"/>
          <w:sz w:val="22"/>
          <w:szCs w:val="22"/>
          <w:lang w:val="pl-PL" w:eastAsia="pl-PL"/>
        </w:rPr>
        <w:t>,</w:t>
      </w: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 xml:space="preserve"> jak sobie z tym poradzić. Obawy biorą się z niewiedzy lub braku umiejętności rozmawiania z dziećmi o seksualności. W indywidualnych wywiadach w ramach komponentu jakościowego rodzice chętnie odwoływali się </w:t>
      </w:r>
      <w:proofErr w:type="spellStart"/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>się</w:t>
      </w:r>
      <w:proofErr w:type="spellEnd"/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 xml:space="preserve"> do własnego dzieciństwa, podkreślając brak wzorców</w:t>
      </w:r>
      <w:r w:rsidR="00EB4F64">
        <w:rPr>
          <w:rFonts w:asciiTheme="minorHAnsi" w:hAnsiTheme="minorHAnsi" w:cs="MyriadPro-Semibold"/>
          <w:sz w:val="22"/>
          <w:szCs w:val="22"/>
          <w:lang w:val="pl-PL" w:eastAsia="pl-PL"/>
        </w:rPr>
        <w:t>,</w:t>
      </w: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 xml:space="preserve"> na których mogliby się oprzeć. Rozumiejąc, jak ważne są rozmowy z dziećmi, zdecydowana większość chciałaby dowiedzieć się więcej o: budowaniu życzliwych relacji z dzieckiem (84%), rozwiązywaniu sytuacji konfliktowych (79%), używkach i uzależnieniach (80%), zagrożeniach w sieci (78%), także o tym</w:t>
      </w:r>
      <w:r w:rsidR="00EB4F64">
        <w:rPr>
          <w:rFonts w:asciiTheme="minorHAnsi" w:hAnsiTheme="minorHAnsi" w:cs="MyriadPro-Semibold"/>
          <w:sz w:val="22"/>
          <w:szCs w:val="22"/>
          <w:lang w:val="pl-PL" w:eastAsia="pl-PL"/>
        </w:rPr>
        <w:t>,</w:t>
      </w: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 xml:space="preserve"> jak rozmawiać z dzieckiem o seksualności (81%). Upatrują takich rad w szkole.</w:t>
      </w:r>
    </w:p>
    <w:p w:rsidR="000031CC" w:rsidRPr="000031CC" w:rsidRDefault="000031CC" w:rsidP="000031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MyriadPro-Semibold"/>
          <w:sz w:val="22"/>
          <w:szCs w:val="22"/>
          <w:lang w:val="pl-PL" w:eastAsia="pl-PL"/>
        </w:rPr>
      </w:pP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>Badanych, zarówno rodziców, jak i młodych dorosłych, pytano</w:t>
      </w:r>
      <w:r w:rsidR="00EB4F64">
        <w:rPr>
          <w:rFonts w:asciiTheme="minorHAnsi" w:hAnsiTheme="minorHAnsi" w:cs="MyriadPro-Semibold"/>
          <w:sz w:val="22"/>
          <w:szCs w:val="22"/>
          <w:lang w:val="pl-PL" w:eastAsia="pl-PL"/>
        </w:rPr>
        <w:t>,</w:t>
      </w: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 xml:space="preserve"> czy i kiedy w szkole powinny być  poruszane poszczególne tematy. Dla zdecydowanej większości nie ma tematów z góry wykluczonych przez rodziców. </w:t>
      </w:r>
    </w:p>
    <w:p w:rsidR="000031CC" w:rsidRDefault="000031CC" w:rsidP="000031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 xml:space="preserve">Młodzi dorośli odpowiadają bardzo podobnie jak pokolenie rodziców. W ich opinii edukacja dotycząca rozwoju psychoseksualnego i seksualności powinna rozpoczynać się w klasach 4-6 od rozmów o prawie do wzajemnego szacunku, wzajemnym zaufaniu, wartościach rodzinnych i wierności jako wartości uniwersalnej. Również wcześnie powinny zostać poruszone tematy istotne ze względu na proces dojrzewania – higiena, budowa ciała oraz wszelkie zmiany zachodzące podczas dojrzewania: emocjonalne, fizyczne i psychiczne. W gimnazjum powinny pojawić się takie tematy jak m.in. masturbacja, pornografia, </w:t>
      </w: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lastRenderedPageBreak/>
        <w:t xml:space="preserve">kwestie przemocy i chorób przenoszonych drogą płciową oraz temat wstrzemięźliwości czy inicjacji seksualnej. Możliwie późno (w gimnazjum lub w szkołach </w:t>
      </w:r>
      <w:proofErr w:type="spellStart"/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>ponadgimnazjalnych</w:t>
      </w:r>
      <w:proofErr w:type="spellEnd"/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>) powinny być ich zdaniem realizowane tematy związane z aborcją, ciążą, porodem czy życiem seksualnym.</w:t>
      </w:r>
      <w:r w:rsidRPr="00CF4722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</w:p>
    <w:p w:rsidR="000031CC" w:rsidRDefault="000031CC" w:rsidP="000031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0031CC" w:rsidRPr="00CF4722" w:rsidRDefault="000031CC" w:rsidP="000031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 w:rsidRPr="00CF4722">
        <w:rPr>
          <w:rFonts w:ascii="Arial" w:hAnsi="Arial" w:cs="Arial"/>
          <w:bCs/>
          <w:i/>
          <w:color w:val="000000" w:themeColor="text1"/>
          <w:sz w:val="20"/>
          <w:szCs w:val="20"/>
        </w:rPr>
        <w:t>Odpowiedzi rodziców na pytanie: Niektórzy ludzie sądzą, że w szkole nie powinno się poruszać pewnych tematów. Inni uważają, że o wielu kwestiach powinno się rozmawiać na lekcjach od najmłodszych lat. Poniżej pojawiać się będą różne tematy. Przy każdym prosimy o zaznaczenie, czy powinien być poruszany w szkole, a jeśli tak, to kiedy najwcześniej.</w:t>
      </w:r>
    </w:p>
    <w:p w:rsidR="000031CC" w:rsidRPr="00CF4722" w:rsidRDefault="000031CC" w:rsidP="000031CC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0031CC" w:rsidRPr="00CF4722" w:rsidRDefault="000031CC" w:rsidP="000031C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4722">
        <w:rPr>
          <w:rFonts w:ascii="Arial" w:hAnsi="Arial" w:cs="Arial"/>
          <w:noProof/>
          <w:color w:val="000000" w:themeColor="text1"/>
          <w:sz w:val="20"/>
          <w:szCs w:val="20"/>
          <w:lang w:val="pl-PL" w:eastAsia="pl-PL"/>
        </w:rPr>
        <w:drawing>
          <wp:inline distT="0" distB="0" distL="0" distR="0">
            <wp:extent cx="5191125" cy="4791075"/>
            <wp:effectExtent l="0" t="0" r="0" b="0"/>
            <wp:docPr id="10" name="Wykres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031CC" w:rsidRDefault="000031CC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:rsidR="000031CC" w:rsidRDefault="000031CC" w:rsidP="000031C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4722">
        <w:rPr>
          <w:rFonts w:ascii="Arial" w:hAnsi="Arial" w:cs="Arial"/>
          <w:color w:val="000000" w:themeColor="text1"/>
          <w:sz w:val="20"/>
          <w:szCs w:val="20"/>
        </w:rPr>
        <w:lastRenderedPageBreak/>
        <w:t>Możliwa sekwencja tematów na kolejnych etapach edukacyjnych.</w:t>
      </w:r>
    </w:p>
    <w:p w:rsidR="000031CC" w:rsidRPr="00CF4722" w:rsidRDefault="000031CC" w:rsidP="000031C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031CC" w:rsidRPr="00CF4722" w:rsidRDefault="000031CC" w:rsidP="000031C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4722">
        <w:rPr>
          <w:rFonts w:ascii="Arial" w:hAnsi="Arial" w:cs="Arial"/>
          <w:bCs/>
          <w:noProof/>
          <w:color w:val="000000" w:themeColor="text1"/>
          <w:sz w:val="20"/>
          <w:szCs w:val="20"/>
          <w:lang w:val="pl-PL" w:eastAsia="pl-PL"/>
        </w:rPr>
        <w:drawing>
          <wp:inline distT="0" distB="0" distL="0" distR="0">
            <wp:extent cx="5760720" cy="4207742"/>
            <wp:effectExtent l="0" t="0" r="0" b="2540"/>
            <wp:docPr id="49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ch_sex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07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1CC" w:rsidRPr="00CF4722" w:rsidRDefault="000031CC" w:rsidP="000031CC">
      <w:pPr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031CC" w:rsidRPr="00CF4722" w:rsidRDefault="000031CC" w:rsidP="000031CC">
      <w:pPr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031CC" w:rsidRPr="000031CC" w:rsidRDefault="000031CC" w:rsidP="000031CC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MyriadPro-Light" w:hAnsiTheme="minorHAnsi" w:cs="MyriadPro-Light"/>
          <w:b/>
          <w:sz w:val="22"/>
          <w:szCs w:val="22"/>
          <w:lang w:val="pl-PL" w:eastAsia="pl-PL"/>
        </w:rPr>
      </w:pPr>
      <w:r w:rsidRPr="000031CC">
        <w:rPr>
          <w:rFonts w:asciiTheme="minorHAnsi" w:eastAsia="MyriadPro-Light" w:hAnsiTheme="minorHAnsi" w:cs="MyriadPro-Light"/>
          <w:b/>
          <w:sz w:val="22"/>
          <w:szCs w:val="22"/>
          <w:lang w:val="pl-PL" w:eastAsia="pl-PL"/>
        </w:rPr>
        <w:t>O tym się mówi w domu</w:t>
      </w:r>
    </w:p>
    <w:p w:rsidR="000031CC" w:rsidRPr="000031CC" w:rsidRDefault="000031CC" w:rsidP="000031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MyriadPro-Semibold"/>
          <w:sz w:val="22"/>
          <w:szCs w:val="22"/>
          <w:lang w:val="pl-PL" w:eastAsia="pl-PL"/>
        </w:rPr>
      </w:pP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>W domu rozmawia się na tematy związane z higieną narządów płciowych, ale także ze sferą wartości – rodzinnych, zaufania, szacunku wobec drugiej osoby. Im starsze dzieci, tym częściej w domu rozmawia się na tematy związane z seksualnością. 1/5 rodziców w ogóle nie prowadzi z dziećmi rozmów na temat seksualności człowieka – w tym 33% rodziców najmłodszych dzieci. Od 50 do 83% rodziców nie rozmawia z dziećmi na tak zwane trudne tematy, czyli o masturbacji, traktowaniu życia seksualnego jako źródła satysfakcji, przebiegu stosunku czy aborcji.</w:t>
      </w:r>
    </w:p>
    <w:p w:rsidR="000031CC" w:rsidRPr="000031CC" w:rsidRDefault="00BF1846" w:rsidP="000031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MyriadPro-Semibold"/>
          <w:sz w:val="22"/>
          <w:szCs w:val="22"/>
          <w:lang w:val="pl-PL" w:eastAsia="pl-PL"/>
        </w:rPr>
      </w:pPr>
      <w:r>
        <w:rPr>
          <w:rFonts w:asciiTheme="minorHAnsi" w:hAnsiTheme="minorHAnsi" w:cs="MyriadPro-Semibold"/>
          <w:sz w:val="22"/>
          <w:szCs w:val="22"/>
          <w:lang w:val="pl-PL" w:eastAsia="pl-PL"/>
        </w:rPr>
        <w:t>N</w:t>
      </w:r>
      <w:r w:rsidR="000031CC"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 xml:space="preserve">a tematy związane z seksualnością </w:t>
      </w:r>
      <w:r>
        <w:rPr>
          <w:rFonts w:asciiTheme="minorHAnsi" w:hAnsiTheme="minorHAnsi" w:cs="MyriadPro-Semibold"/>
          <w:sz w:val="22"/>
          <w:szCs w:val="22"/>
          <w:lang w:val="pl-PL" w:eastAsia="pl-PL"/>
        </w:rPr>
        <w:t>1</w:t>
      </w:r>
      <w:r w:rsidR="000031CC"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>8-latkowie rozmawiali przede wszystkim ze swoimi matkami (74%). Matki rozmawiają zarówno z córkami, jak i z synami, choć częściej z dziewczętami. Ojcowie z kolei rozmawiają przede wszystkim z synami – 58% chłopc</w:t>
      </w:r>
      <w:r w:rsidR="00EB4F64">
        <w:rPr>
          <w:rFonts w:asciiTheme="minorHAnsi" w:hAnsiTheme="minorHAnsi" w:cs="MyriadPro-Semibold"/>
          <w:sz w:val="22"/>
          <w:szCs w:val="22"/>
          <w:lang w:val="pl-PL" w:eastAsia="pl-PL"/>
        </w:rPr>
        <w:t>ów</w:t>
      </w:r>
      <w:r w:rsidR="000031CC"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 xml:space="preserve"> wskazało ojca i tylko 13% dziewcząt. W sumie co trzecie z 18-latków rozmawiało o tym z ojcem. Rodzice rozmawiają częściej z córkami niż z synami. Dorastający chłopcy są bardziej niż dziewczęta pozostawieni samym sobie.</w:t>
      </w:r>
    </w:p>
    <w:p w:rsidR="000031CC" w:rsidRDefault="000031CC" w:rsidP="000031CC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MyriadPro-Light" w:hAnsiTheme="minorHAnsi" w:cs="MyriadPro-Light"/>
          <w:b/>
          <w:sz w:val="22"/>
          <w:szCs w:val="22"/>
          <w:lang w:val="pl-PL" w:eastAsia="pl-PL"/>
        </w:rPr>
      </w:pPr>
    </w:p>
    <w:p w:rsidR="000031CC" w:rsidRPr="000031CC" w:rsidRDefault="000031CC" w:rsidP="000031CC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MyriadPro-Light" w:hAnsiTheme="minorHAnsi" w:cs="MyriadPro-Light"/>
          <w:b/>
          <w:sz w:val="22"/>
          <w:szCs w:val="22"/>
          <w:lang w:val="pl-PL" w:eastAsia="pl-PL"/>
        </w:rPr>
      </w:pPr>
      <w:r w:rsidRPr="000031CC">
        <w:rPr>
          <w:rFonts w:asciiTheme="minorHAnsi" w:eastAsia="MyriadPro-Light" w:hAnsiTheme="minorHAnsi" w:cs="MyriadPro-Light"/>
          <w:b/>
          <w:sz w:val="22"/>
          <w:szCs w:val="22"/>
          <w:lang w:val="pl-PL" w:eastAsia="pl-PL"/>
        </w:rPr>
        <w:t>Jak nie w domu, to w szkole</w:t>
      </w:r>
    </w:p>
    <w:p w:rsidR="000031CC" w:rsidRPr="000031CC" w:rsidRDefault="000031CC" w:rsidP="000031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MyriadPro-Semibold"/>
          <w:sz w:val="22"/>
          <w:szCs w:val="22"/>
          <w:lang w:val="pl-PL" w:eastAsia="pl-PL"/>
        </w:rPr>
      </w:pP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>Na zajęciach szkolnych rozmawia się o wszystkim. Najczęściej o budowie narządów płciowych, okresie dojrzewania, chorobach przenoszonych drogą płciową czy antykoncepcji. Obok tych tematów powszechne są tematy dotyczące sfery wartości – w tym zaufania, wartości rodzinnych, a także dotyczące emocjonalności. Szkoła, jak wskazują 18-latkowie, nie boi się tak zwanych trudnych tematów. Częściej niż w domu mówi się o przebiegu stosunku seksualnego, życiu seksualnym, ciąży, masturbacji i aborcji.</w:t>
      </w:r>
    </w:p>
    <w:p w:rsidR="000031CC" w:rsidRPr="000031CC" w:rsidRDefault="000031CC" w:rsidP="000031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MyriadPro-Semibold"/>
          <w:sz w:val="22"/>
          <w:szCs w:val="22"/>
          <w:lang w:val="pl-PL" w:eastAsia="pl-PL"/>
        </w:rPr>
      </w:pP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 xml:space="preserve">Zajęcia z wychowania do życia w rodzinie są bardziej dostępne w gimnazjum niż na wcześniejszym i późniejszym etapie. Niemal 60% osiemnastolatków odpowiedziało, że zajęcia WDŻ były organizowane w </w:t>
      </w: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lastRenderedPageBreak/>
        <w:t xml:space="preserve">ich szkole podstawowej, tyle samo – że w szkole </w:t>
      </w:r>
      <w:proofErr w:type="spellStart"/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>ponadgimnazjalnej</w:t>
      </w:r>
      <w:proofErr w:type="spellEnd"/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>, natomiast w gimnazjum – 90%,  ale jedynie połowa badanych deklaruje, że odbywały się one w każdej klasie.</w:t>
      </w:r>
    </w:p>
    <w:p w:rsidR="000031CC" w:rsidRPr="000031CC" w:rsidRDefault="000031CC" w:rsidP="000031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MyriadPro-Semibold"/>
          <w:sz w:val="22"/>
          <w:szCs w:val="22"/>
          <w:lang w:val="pl-PL" w:eastAsia="pl-PL"/>
        </w:rPr>
      </w:pP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>Wyraźna większość tych, co chodzą</w:t>
      </w:r>
      <w:r w:rsidR="00EB4F64">
        <w:rPr>
          <w:rFonts w:asciiTheme="minorHAnsi" w:hAnsiTheme="minorHAnsi" w:cs="MyriadPro-Semibold"/>
          <w:sz w:val="22"/>
          <w:szCs w:val="22"/>
          <w:lang w:val="pl-PL" w:eastAsia="pl-PL"/>
        </w:rPr>
        <w:t xml:space="preserve"> na zajęcia</w:t>
      </w: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 xml:space="preserve">, ma dobrą opinię o zajęciach WDŻ, 62% w gimnazjum i 71% w szkołach </w:t>
      </w:r>
      <w:proofErr w:type="spellStart"/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>ponadgimnazjalnych</w:t>
      </w:r>
      <w:proofErr w:type="spellEnd"/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 xml:space="preserve">. Młodych ludzi skłania do tego m.in. otwartość nauczycieli WDŻ na pytania uczniów, możliwość swobodnego wyrażania swoich myśli i odczuć. Trzy czwarte zgadza się ze stwierdzeniem, że informacje przekazywane na zajęciach były przydatne, a prowadzący zaangażowany i dobrze przygotowany. Jednocześnie ponad jedna trzecia stwierdza, że zajęcia nie odpowiadały ich potrzebom lub były prowadzone w nudny sposób. </w:t>
      </w:r>
    </w:p>
    <w:p w:rsidR="000031CC" w:rsidRPr="000031CC" w:rsidRDefault="000031CC" w:rsidP="000031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MyriadPro-Semibold"/>
          <w:sz w:val="22"/>
          <w:szCs w:val="22"/>
          <w:lang w:val="pl-PL" w:eastAsia="pl-PL"/>
        </w:rPr>
      </w:pP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 xml:space="preserve">O ile ocena uczniów uczestniczących w zajęciach jest generalnie pozytywna, o tyle warto zastanowić się nad malejącym udziałem w nich po przejściu z gimnazjum do szkoły </w:t>
      </w:r>
      <w:proofErr w:type="spellStart"/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>ponadgimnazjalnej</w:t>
      </w:r>
      <w:proofErr w:type="spellEnd"/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 xml:space="preserve"> (niezależnie od jej typu). Na etapie gimnazjum około 75% rocznika uczestniczy we wszystkich, prawie wszystkich lub co najmniej połowie zajęć WDŻ. Analogiczny wskaźnik dla szkół </w:t>
      </w:r>
      <w:proofErr w:type="spellStart"/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>ponadgimnazjalnych</w:t>
      </w:r>
      <w:proofErr w:type="spellEnd"/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 xml:space="preserve"> spada do 35%. Warto więc zastanowić się</w:t>
      </w:r>
      <w:r w:rsidR="00BF1846">
        <w:rPr>
          <w:rFonts w:asciiTheme="minorHAnsi" w:hAnsiTheme="minorHAnsi" w:cs="MyriadPro-Semibold"/>
          <w:sz w:val="22"/>
          <w:szCs w:val="22"/>
          <w:lang w:val="pl-PL" w:eastAsia="pl-PL"/>
        </w:rPr>
        <w:t>,</w:t>
      </w: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 xml:space="preserve"> jakie są potrzeby tych uczniów, a zwłaszcza co zaproponować młodzieży </w:t>
      </w:r>
      <w:proofErr w:type="spellStart"/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>ponadgimnazjalnej</w:t>
      </w:r>
      <w:proofErr w:type="spellEnd"/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 xml:space="preserve">. </w:t>
      </w:r>
    </w:p>
    <w:p w:rsidR="000031CC" w:rsidRDefault="000031CC" w:rsidP="000031CC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MyriadPro-Light" w:hAnsiTheme="minorHAnsi" w:cs="MyriadPro-Light"/>
          <w:b/>
          <w:sz w:val="22"/>
          <w:szCs w:val="22"/>
          <w:lang w:val="pl-PL" w:eastAsia="pl-PL"/>
        </w:rPr>
      </w:pPr>
    </w:p>
    <w:p w:rsidR="000031CC" w:rsidRPr="000031CC" w:rsidRDefault="000031CC" w:rsidP="000031CC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MyriadPro-Light" w:hAnsiTheme="minorHAnsi" w:cs="MyriadPro-Light"/>
          <w:b/>
          <w:sz w:val="22"/>
          <w:szCs w:val="22"/>
          <w:lang w:val="pl-PL" w:eastAsia="pl-PL"/>
        </w:rPr>
      </w:pPr>
      <w:r w:rsidRPr="000031CC">
        <w:rPr>
          <w:rFonts w:asciiTheme="minorHAnsi" w:eastAsia="MyriadPro-Light" w:hAnsiTheme="minorHAnsi" w:cs="MyriadPro-Light"/>
          <w:b/>
          <w:sz w:val="22"/>
          <w:szCs w:val="22"/>
          <w:lang w:val="pl-PL" w:eastAsia="pl-PL"/>
        </w:rPr>
        <w:t>Od koleżanek, nauczyciela WDŻ i rodziców</w:t>
      </w:r>
    </w:p>
    <w:p w:rsidR="000031CC" w:rsidRPr="000031CC" w:rsidRDefault="000031CC" w:rsidP="000031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MyriadPro-Semibold"/>
          <w:sz w:val="22"/>
          <w:szCs w:val="22"/>
          <w:lang w:val="pl-PL" w:eastAsia="pl-PL"/>
        </w:rPr>
      </w:pP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>Młodzi dorośli i rodzice są zgodni: koledzy, koleżanki i przyjaciele, a zatem rówieśnicy, nauczyciele wychowania do życia w rodzinie oraz rodzice</w:t>
      </w:r>
      <w:r w:rsidR="00BF1846">
        <w:rPr>
          <w:rFonts w:asciiTheme="minorHAnsi" w:hAnsiTheme="minorHAnsi" w:cs="MyriadPro-Semibold"/>
          <w:sz w:val="22"/>
          <w:szCs w:val="22"/>
          <w:lang w:val="pl-PL" w:eastAsia="pl-PL"/>
        </w:rPr>
        <w:t>,</w:t>
      </w: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 xml:space="preserve"> to główne źródła wiedzy na temat rozwoju psychoseksualnego i seksualności, choć nie w tej samej kolejności. Rodzice przypisują większą rolę sobie, potem nauczycielowi, a najmniejszą rówieśnikom dziecka. Młodzi dorośli wymieniają rówieśników, nauczyciela WDŻ, rodziców. Filmy erotyczne lub pornograficzne wymieniło 29% respondentów, co daje ósme miejsce na liście źródeł, ale wśród osiemnastolatek było to 14%, a osiemnastolatków 44</w:t>
      </w:r>
      <w:r w:rsidR="00BF1846">
        <w:rPr>
          <w:rFonts w:asciiTheme="minorHAnsi" w:hAnsiTheme="minorHAnsi" w:cs="MyriadPro-Semibold"/>
          <w:sz w:val="22"/>
          <w:szCs w:val="22"/>
          <w:lang w:val="pl-PL" w:eastAsia="pl-PL"/>
        </w:rPr>
        <w:t>%</w:t>
      </w: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 xml:space="preserve">. Wśród dziewcząt </w:t>
      </w:r>
      <w:r w:rsidR="00BF1846">
        <w:rPr>
          <w:rFonts w:asciiTheme="minorHAnsi" w:hAnsiTheme="minorHAnsi" w:cs="MyriadPro-Semibold"/>
          <w:sz w:val="22"/>
          <w:szCs w:val="22"/>
          <w:lang w:val="pl-PL" w:eastAsia="pl-PL"/>
        </w:rPr>
        <w:t>większe znaczenie mają</w:t>
      </w: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 xml:space="preserve"> pisma młodzieżowe, kobiece czy poświęcone zdrowiu (51%), do których z kolei zagląda jedynie co piąty chłopak.</w:t>
      </w:r>
    </w:p>
    <w:p w:rsidR="000031CC" w:rsidRPr="000031CC" w:rsidRDefault="000031CC" w:rsidP="000031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MyriadPro-Semibold"/>
          <w:sz w:val="22"/>
          <w:szCs w:val="22"/>
          <w:lang w:val="pl-PL" w:eastAsia="pl-PL"/>
        </w:rPr>
      </w:pPr>
      <w:bookmarkStart w:id="0" w:name="_Toc419125672"/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>A jak wygląda ten zasób informacji</w:t>
      </w:r>
      <w:r w:rsidR="00BF1846">
        <w:rPr>
          <w:rFonts w:asciiTheme="minorHAnsi" w:hAnsiTheme="minorHAnsi" w:cs="MyriadPro-Semibold"/>
          <w:sz w:val="22"/>
          <w:szCs w:val="22"/>
          <w:lang w:val="pl-PL" w:eastAsia="pl-PL"/>
        </w:rPr>
        <w:t>?</w:t>
      </w: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 xml:space="preserve"> Wybrano arbitrażowo kilka tematów, związanych z zapobieganiem ciąży, bezpieczeństwem zdrowotnym. Są to informacje obecne w podstawie programowej nie tylko na WDŻ, ale także na biologii. Przykładowe pytania, to</w:t>
      </w:r>
      <w:r w:rsidR="00BF1846">
        <w:rPr>
          <w:rFonts w:asciiTheme="minorHAnsi" w:hAnsiTheme="minorHAnsi" w:cs="MyriadPro-Semibold"/>
          <w:sz w:val="22"/>
          <w:szCs w:val="22"/>
          <w:lang w:val="pl-PL" w:eastAsia="pl-PL"/>
        </w:rPr>
        <w:t>:</w:t>
      </w: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 xml:space="preserve"> określ, który narząd wytwarza komórki jajowe (prawidłowo odpowiedziało 72% kobiet i 59% mężczyzn) czy</w:t>
      </w:r>
      <w:r w:rsidR="00BF1846">
        <w:rPr>
          <w:rFonts w:asciiTheme="minorHAnsi" w:hAnsiTheme="minorHAnsi" w:cs="MyriadPro-Semibold"/>
          <w:sz w:val="22"/>
          <w:szCs w:val="22"/>
          <w:lang w:val="pl-PL" w:eastAsia="pl-PL"/>
        </w:rPr>
        <w:t>:</w:t>
      </w: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 xml:space="preserve"> w którym narządzie powstają plemniki (odpowiednio 71% i 76%). Co trzecia kobieta i co czwarty mężczyzna uważają, że seks oralny jest całkowicie bezpieczny i że w ten sposób nie można zakazić się chorobami przenoszonymi drogą płciową. Jedyną metodą </w:t>
      </w:r>
      <w:r w:rsidR="00BF1846">
        <w:rPr>
          <w:rFonts w:asciiTheme="minorHAnsi" w:hAnsiTheme="minorHAnsi" w:cs="MyriadPro-Semibold"/>
          <w:sz w:val="22"/>
          <w:szCs w:val="22"/>
          <w:lang w:val="pl-PL" w:eastAsia="pl-PL"/>
        </w:rPr>
        <w:t xml:space="preserve">antykoncepcji </w:t>
      </w: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>o znanym większości młodych dorosłych mechanizmie działania jest prezerwatywa. Środki hormonalne przyjmowane są przez 17% tych młodych dorosłych, którzy podjęli już współżycie. Jednak tylko połowa, które deklarują stosowanie środków hormonalnych przez siebie lub partnerkę podczas ostatniego stosunku seksualnego, potrafiła prawidłowo określić mechanizm ich działania. 60% 18-letnich kobiet nie wie, kiedy ma miejsce owulacja. Niepokojąco duży odsetek 18-latków uważa stosunek przerywany za całkowicie skuteczną metodę zapobiegania ciąży. Badani poradzili sobie natomiast z pytaniami, czy osoba zakażona chorobą przenoszoną drogą płciową może przez długi czas nie mieć objawów i zakażać innych i czy kobieta może zajść w ciążę już po pierwszym stosunku seksualnym.</w:t>
      </w:r>
    </w:p>
    <w:p w:rsidR="000031CC" w:rsidRPr="000031CC" w:rsidRDefault="000031CC" w:rsidP="000031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MyriadPro-Semibold"/>
          <w:sz w:val="22"/>
          <w:szCs w:val="22"/>
          <w:lang w:val="pl-PL" w:eastAsia="pl-PL"/>
        </w:rPr>
      </w:pP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 xml:space="preserve">Zauważyć należy, że </w:t>
      </w:r>
      <w:bookmarkEnd w:id="0"/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>51% badanych 18-latków (48% kobiet i 53% mężczyzn) stwierdza, że ma już za sobą pierwszy stosunek, 37% osiemnastolatków deklaruje, że nie odbyło stosunku seksualnego (w tym 41% kobiet i 33% mężczyzn), 12% nie zdecydowało się odpowiedzieć na to pytanie.</w:t>
      </w:r>
    </w:p>
    <w:p w:rsidR="000031CC" w:rsidRPr="000031CC" w:rsidRDefault="000031CC" w:rsidP="000031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MyriadPro-Semibold"/>
          <w:sz w:val="22"/>
          <w:szCs w:val="22"/>
          <w:lang w:val="pl-PL" w:eastAsia="pl-PL"/>
        </w:rPr>
      </w:pP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 xml:space="preserve">Można przypuszczać, </w:t>
      </w:r>
      <w:r w:rsidR="00BF1846">
        <w:rPr>
          <w:rFonts w:asciiTheme="minorHAnsi" w:hAnsiTheme="minorHAnsi" w:cs="MyriadPro-Semibold"/>
          <w:sz w:val="22"/>
          <w:szCs w:val="22"/>
          <w:lang w:val="pl-PL" w:eastAsia="pl-PL"/>
        </w:rPr>
        <w:t xml:space="preserve">że </w:t>
      </w: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>spośród 51%, którzy mają za sobą pierwszy stosunek, około 27% podejmuje współżycie nie rzadziej niż raz na miesiąc, kolejne 11% odbyło pierwszy stosunek seksualny, ale nie podjęło bardziej regularnego współżycia, dla kilku procent było to doświadczenie sporadyczne. Pozostali nie zdecydowali się doprecyzować</w:t>
      </w:r>
      <w:r w:rsidR="00BF1846">
        <w:rPr>
          <w:rFonts w:asciiTheme="minorHAnsi" w:hAnsiTheme="minorHAnsi" w:cs="MyriadPro-Semibold"/>
          <w:sz w:val="22"/>
          <w:szCs w:val="22"/>
          <w:lang w:val="pl-PL" w:eastAsia="pl-PL"/>
        </w:rPr>
        <w:t>,</w:t>
      </w: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 xml:space="preserve"> jak dawno temu współżyli ostatni raz</w:t>
      </w:r>
      <w:r w:rsidR="00BF1846">
        <w:rPr>
          <w:rFonts w:asciiTheme="minorHAnsi" w:hAnsiTheme="minorHAnsi" w:cs="MyriadPro-Semibold"/>
          <w:sz w:val="22"/>
          <w:szCs w:val="22"/>
          <w:lang w:val="pl-PL" w:eastAsia="pl-PL"/>
        </w:rPr>
        <w:t>.</w:t>
      </w:r>
    </w:p>
    <w:p w:rsidR="000031CC" w:rsidRPr="000031CC" w:rsidRDefault="000031CC" w:rsidP="000031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MyriadPro-Semibold"/>
          <w:sz w:val="22"/>
          <w:szCs w:val="22"/>
          <w:lang w:val="pl-PL" w:eastAsia="pl-PL"/>
        </w:rPr>
      </w:pP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lastRenderedPageBreak/>
        <w:t>5 procent osiemnastolatków odbyło pierwszy stosunek w wieku 15 lat lub wcześniej, 9% w wieku 16 lat, a 13 % w wieku 17 lat.</w:t>
      </w:r>
    </w:p>
    <w:p w:rsidR="000031CC" w:rsidRPr="000031CC" w:rsidRDefault="000031CC" w:rsidP="000031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MyriadPro-Semibold"/>
          <w:sz w:val="22"/>
          <w:szCs w:val="22"/>
          <w:lang w:val="pl-PL" w:eastAsia="pl-PL"/>
        </w:rPr>
      </w:pP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 xml:space="preserve">Spośród tych, którzy podjęli współżycie, około 2/3 </w:t>
      </w:r>
      <w:r w:rsidR="00BF1846">
        <w:rPr>
          <w:rFonts w:asciiTheme="minorHAnsi" w:hAnsiTheme="minorHAnsi" w:cs="MyriadPro-Semibold"/>
          <w:sz w:val="22"/>
          <w:szCs w:val="22"/>
          <w:lang w:val="pl-PL" w:eastAsia="pl-PL"/>
        </w:rPr>
        <w:t xml:space="preserve">w </w:t>
      </w: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 xml:space="preserve">ciągu ostatnich 12 miesięcy miało jednego partnera, 46% używa prezerwatyw, 11% nie stosuje żadnego zabezpieczenia przed zajściem w ciążę. </w:t>
      </w:r>
    </w:p>
    <w:p w:rsidR="000031CC" w:rsidRDefault="000031CC" w:rsidP="000031CC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031CC" w:rsidRPr="000031CC" w:rsidRDefault="000031CC" w:rsidP="000031CC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MyriadPro-Light" w:hAnsiTheme="minorHAnsi" w:cs="MyriadPro-Light"/>
          <w:b/>
          <w:sz w:val="22"/>
          <w:szCs w:val="22"/>
          <w:lang w:val="pl-PL" w:eastAsia="pl-PL"/>
        </w:rPr>
      </w:pPr>
      <w:r w:rsidRPr="000031CC">
        <w:rPr>
          <w:rFonts w:asciiTheme="minorHAnsi" w:eastAsia="MyriadPro-Light" w:hAnsiTheme="minorHAnsi" w:cs="MyriadPro-Light"/>
          <w:b/>
          <w:sz w:val="22"/>
          <w:szCs w:val="22"/>
          <w:lang w:val="pl-PL" w:eastAsia="pl-PL"/>
        </w:rPr>
        <w:t>Co jeszcze może zrobić szkoła?</w:t>
      </w:r>
    </w:p>
    <w:p w:rsidR="000031CC" w:rsidRPr="000031CC" w:rsidRDefault="000031CC" w:rsidP="000031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MyriadPro-Semibold"/>
          <w:sz w:val="22"/>
          <w:szCs w:val="22"/>
          <w:lang w:val="pl-PL" w:eastAsia="pl-PL"/>
        </w:rPr>
      </w:pP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>Podjąć dialog z rodzicami.</w:t>
      </w:r>
    </w:p>
    <w:p w:rsidR="000031CC" w:rsidRPr="000031CC" w:rsidRDefault="000031CC" w:rsidP="000031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MyriadPro-Semibold"/>
          <w:sz w:val="22"/>
          <w:szCs w:val="22"/>
          <w:lang w:val="pl-PL" w:eastAsia="pl-PL"/>
        </w:rPr>
      </w:pP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>Jeśli szkoła ma wspierać rodziców, to nie zajęciami na temat seksualności, ale poprzez wsparcie w zakresie kompetencji wychowawczych: jak zadbać o dobre relacje z dziećmi, jak rozwiązywać konflikty i jak z dziećmi rozmawiać, dostarczając informacji na temat używek i uzależnień, czy zagrożeń płynących z Internetu.</w:t>
      </w:r>
    </w:p>
    <w:p w:rsidR="000031CC" w:rsidRPr="000031CC" w:rsidRDefault="000031CC" w:rsidP="000031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MyriadPro-Semibold"/>
          <w:sz w:val="22"/>
          <w:szCs w:val="22"/>
          <w:lang w:val="pl-PL" w:eastAsia="pl-PL"/>
        </w:rPr>
      </w:pP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 xml:space="preserve">Z badania wyłania się obraz idealnych zajęć z WDŻ. Zdecydowana większość osiemnastolatków </w:t>
      </w:r>
      <w:r w:rsidR="00BF1846">
        <w:rPr>
          <w:rFonts w:asciiTheme="minorHAnsi" w:hAnsiTheme="minorHAnsi" w:cs="MyriadPro-Semibold"/>
          <w:sz w:val="22"/>
          <w:szCs w:val="22"/>
          <w:lang w:val="pl-PL" w:eastAsia="pl-PL"/>
        </w:rPr>
        <w:t>(</w:t>
      </w: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>87%</w:t>
      </w:r>
      <w:r w:rsidR="00BF1846">
        <w:rPr>
          <w:rFonts w:asciiTheme="minorHAnsi" w:hAnsiTheme="minorHAnsi" w:cs="MyriadPro-Semibold"/>
          <w:sz w:val="22"/>
          <w:szCs w:val="22"/>
          <w:lang w:val="pl-PL" w:eastAsia="pl-PL"/>
        </w:rPr>
        <w:t>)</w:t>
      </w: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 xml:space="preserve"> uważa, że zajęcia dotyczące rozwoju psychoseksualnego i seksualności człowieka powinny odbywać się w szkole jako oddzielny przedmiot. Powinny być prowadzone przez specjalistę spoza szkoły i umieszczone w planie zajęć. Podoba im się fakt, że część zajęć jest wspólna, a część prowadzona z podziałem na płeć. </w:t>
      </w:r>
    </w:p>
    <w:p w:rsidR="000031CC" w:rsidRPr="000031CC" w:rsidRDefault="000031CC" w:rsidP="000031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MyriadPro-Semibold"/>
          <w:sz w:val="22"/>
          <w:szCs w:val="22"/>
          <w:lang w:val="pl-PL" w:eastAsia="pl-PL"/>
        </w:rPr>
      </w:pP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 xml:space="preserve">Zdaniem większości, jeśli zajęcia powinny być obowiązkowe, to w gimnazjum, ale nie na pierwszym etapie edukacyjnym. Duży odsetek osiemnastolatków uważa, że w klasach 4-6 i w szkole </w:t>
      </w:r>
      <w:proofErr w:type="spellStart"/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>ponadgimnazjalnej</w:t>
      </w:r>
      <w:proofErr w:type="spellEnd"/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 xml:space="preserve"> powinny być to zajęcia nieobowiązkowe, ale decyzja w klasach 4-6 powinna zależeć od rodziców, a w szkole </w:t>
      </w:r>
      <w:proofErr w:type="spellStart"/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>ponadgimnazjalnej</w:t>
      </w:r>
      <w:proofErr w:type="spellEnd"/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 xml:space="preserve"> </w:t>
      </w:r>
      <w:r w:rsidR="00BF1846">
        <w:rPr>
          <w:rFonts w:asciiTheme="minorHAnsi" w:hAnsiTheme="minorHAnsi" w:cs="MyriadPro-Semibold"/>
          <w:sz w:val="22"/>
          <w:szCs w:val="22"/>
          <w:lang w:val="pl-PL" w:eastAsia="pl-PL"/>
        </w:rPr>
        <w:t xml:space="preserve">– </w:t>
      </w: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 xml:space="preserve">od uczniów. </w:t>
      </w:r>
    </w:p>
    <w:p w:rsidR="000031CC" w:rsidRPr="000031CC" w:rsidRDefault="000031CC" w:rsidP="000031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MyriadPro-Semibold"/>
          <w:sz w:val="22"/>
          <w:szCs w:val="22"/>
          <w:lang w:val="pl-PL" w:eastAsia="pl-PL"/>
        </w:rPr>
      </w:pP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 xml:space="preserve">Zadane wybrane pytania o informacje na temat zdrowia seksualnego czy zapobiegania ciąży nie dają całościowego obrazu, ale wskazują na obszar odpowiedzialności szkoły, tym bardziej, </w:t>
      </w:r>
      <w:r w:rsidR="00BF1846">
        <w:rPr>
          <w:rFonts w:asciiTheme="minorHAnsi" w:hAnsiTheme="minorHAnsi" w:cs="MyriadPro-Semibold"/>
          <w:sz w:val="22"/>
          <w:szCs w:val="22"/>
          <w:lang w:val="pl-PL" w:eastAsia="pl-PL"/>
        </w:rPr>
        <w:t>ż</w:t>
      </w: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 xml:space="preserve">e są to tematy poruszane podczas lekcji. Na uwagę zasługuje fakt, że lepiej z pytaniami radzili sobie uczniowie i absolwenci liceów. </w:t>
      </w:r>
    </w:p>
    <w:p w:rsidR="000031CC" w:rsidRPr="000031CC" w:rsidRDefault="000031CC" w:rsidP="000031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MyriadPro-Semibold"/>
          <w:sz w:val="22"/>
          <w:szCs w:val="22"/>
          <w:lang w:val="pl-PL" w:eastAsia="pl-PL"/>
        </w:rPr>
      </w:pPr>
      <w:r w:rsidRPr="000031CC">
        <w:rPr>
          <w:rFonts w:asciiTheme="minorHAnsi" w:hAnsiTheme="minorHAnsi" w:cs="MyriadPro-Semibold"/>
          <w:sz w:val="22"/>
          <w:szCs w:val="22"/>
          <w:lang w:val="pl-PL" w:eastAsia="pl-PL"/>
        </w:rPr>
        <w:t xml:space="preserve">Na uwagę zasługuje też szczegółowa analiza źródeł wiedzy młodzieży oraz jakości nauczania WDŻ. </w:t>
      </w:r>
    </w:p>
    <w:p w:rsidR="000031CC" w:rsidRPr="000031CC" w:rsidRDefault="000031CC" w:rsidP="000031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MyriadPro-Semibold"/>
          <w:sz w:val="22"/>
          <w:szCs w:val="22"/>
          <w:lang w:val="pl-PL" w:eastAsia="pl-PL"/>
        </w:rPr>
      </w:pPr>
    </w:p>
    <w:p w:rsidR="005B7FFD" w:rsidRPr="005B7FFD" w:rsidRDefault="005B7FFD" w:rsidP="005B7FFD">
      <w:pPr>
        <w:spacing w:line="276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5B7FFD" w:rsidRPr="005B7FFD" w:rsidRDefault="005B7FFD" w:rsidP="005B7FFD">
      <w:pPr>
        <w:pStyle w:val="txt"/>
        <w:spacing w:line="276" w:lineRule="auto"/>
        <w:rPr>
          <w:rFonts w:asciiTheme="minorHAnsi" w:hAnsiTheme="minorHAnsi"/>
          <w:b/>
          <w:sz w:val="18"/>
          <w:szCs w:val="18"/>
          <w:u w:val="single"/>
        </w:rPr>
      </w:pPr>
      <w:r w:rsidRPr="005B7FFD">
        <w:rPr>
          <w:rFonts w:asciiTheme="minorHAnsi" w:hAnsiTheme="minorHAnsi"/>
          <w:b/>
          <w:sz w:val="18"/>
          <w:szCs w:val="18"/>
          <w:u w:val="single"/>
        </w:rPr>
        <w:t>Informacja o Instytucie Badań Edukacyjnych:</w:t>
      </w:r>
    </w:p>
    <w:p w:rsidR="005B7FFD" w:rsidRPr="005B7FFD" w:rsidRDefault="005B7FFD" w:rsidP="005B7FFD">
      <w:pPr>
        <w:pStyle w:val="txt"/>
        <w:spacing w:line="240" w:lineRule="auto"/>
        <w:rPr>
          <w:rFonts w:asciiTheme="minorHAnsi" w:hAnsiTheme="minorHAnsi"/>
          <w:sz w:val="18"/>
          <w:szCs w:val="18"/>
        </w:rPr>
      </w:pPr>
      <w:r w:rsidRPr="005B7FFD">
        <w:rPr>
          <w:rFonts w:asciiTheme="minorHAnsi" w:hAnsiTheme="minorHAnsi"/>
          <w:sz w:val="18"/>
          <w:szCs w:val="18"/>
        </w:rPr>
        <w:t>Instytut Badań Edukacyjnych (IBE) zatrudnia około 150 badaczy zajmujących się edukacją – socjologów, psychologów, pedagogów, ekonomistów, politologów i przedstawicieli innych dyscyplin naukowych – wybitnych specjalistów w swoich dziedzinach. Instytut uczestniczy w krajowych i międzynarodowych projektach badawczych, przygotowuje raporty, sporządza ekspertyzy oraz pełni funkcje doradcze w tym zakresie, aktywnie promuje politykę edukacyjną opartą na faktach (</w:t>
      </w:r>
      <w:proofErr w:type="spellStart"/>
      <w:r w:rsidRPr="005B7FFD">
        <w:rPr>
          <w:rFonts w:asciiTheme="minorHAnsi" w:hAnsiTheme="minorHAnsi"/>
          <w:sz w:val="18"/>
          <w:szCs w:val="18"/>
        </w:rPr>
        <w:t>evidence-based</w:t>
      </w:r>
      <w:proofErr w:type="spellEnd"/>
      <w:r w:rsidRPr="005B7FF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B7FFD">
        <w:rPr>
          <w:rFonts w:asciiTheme="minorHAnsi" w:hAnsiTheme="minorHAnsi"/>
          <w:sz w:val="18"/>
          <w:szCs w:val="18"/>
        </w:rPr>
        <w:t>policy</w:t>
      </w:r>
      <w:proofErr w:type="spellEnd"/>
      <w:r w:rsidRPr="005B7FFD">
        <w:rPr>
          <w:rFonts w:asciiTheme="minorHAnsi" w:hAnsiTheme="minorHAnsi"/>
          <w:sz w:val="18"/>
          <w:szCs w:val="18"/>
        </w:rPr>
        <w:t xml:space="preserve"> and </w:t>
      </w:r>
      <w:proofErr w:type="spellStart"/>
      <w:r w:rsidRPr="005B7FFD">
        <w:rPr>
          <w:rFonts w:asciiTheme="minorHAnsi" w:hAnsiTheme="minorHAnsi"/>
          <w:sz w:val="18"/>
          <w:szCs w:val="18"/>
        </w:rPr>
        <w:t>practice</w:t>
      </w:r>
      <w:proofErr w:type="spellEnd"/>
      <w:r w:rsidRPr="005B7FFD">
        <w:rPr>
          <w:rFonts w:asciiTheme="minorHAnsi" w:hAnsiTheme="minorHAnsi"/>
          <w:sz w:val="18"/>
          <w:szCs w:val="18"/>
        </w:rPr>
        <w:t xml:space="preserve">) i szczególnie dużą wagę przywiązuje do badań, których wyniki mogą zostać wykorzystane w praktyce i polityce edukacyjnej na szczeblu krajowym i lokalnym. </w:t>
      </w:r>
      <w:hyperlink r:id="rId10" w:history="1">
        <w:r w:rsidRPr="005B7FFD">
          <w:rPr>
            <w:rStyle w:val="Hipercze"/>
            <w:rFonts w:asciiTheme="minorHAnsi" w:hAnsiTheme="minorHAnsi"/>
            <w:sz w:val="18"/>
            <w:szCs w:val="18"/>
          </w:rPr>
          <w:t>www.ibe.edu.pl</w:t>
        </w:r>
      </w:hyperlink>
    </w:p>
    <w:p w:rsidR="005B7FFD" w:rsidRPr="005B7FFD" w:rsidRDefault="005B7FFD" w:rsidP="005B7FFD">
      <w:pPr>
        <w:pStyle w:val="Default"/>
        <w:rPr>
          <w:rFonts w:asciiTheme="minorHAnsi" w:hAnsiTheme="minorHAnsi" w:cs="Arial"/>
          <w:b/>
          <w:sz w:val="18"/>
          <w:szCs w:val="18"/>
        </w:rPr>
      </w:pPr>
    </w:p>
    <w:p w:rsidR="005B7FFD" w:rsidRPr="005B7FFD" w:rsidRDefault="005B7FFD" w:rsidP="005B7FFD">
      <w:pPr>
        <w:pStyle w:val="txt"/>
        <w:spacing w:line="240" w:lineRule="auto"/>
        <w:rPr>
          <w:rFonts w:asciiTheme="minorHAnsi" w:hAnsiTheme="minorHAnsi"/>
          <w:b/>
          <w:sz w:val="18"/>
          <w:szCs w:val="18"/>
          <w:u w:val="single"/>
        </w:rPr>
      </w:pPr>
      <w:r w:rsidRPr="005B7FFD">
        <w:rPr>
          <w:rFonts w:asciiTheme="minorHAnsi" w:hAnsiTheme="minorHAnsi"/>
          <w:b/>
          <w:sz w:val="18"/>
          <w:szCs w:val="18"/>
          <w:u w:val="single"/>
        </w:rPr>
        <w:t>Informacje o projekcie Entuzjaści Edukacji:</w:t>
      </w:r>
    </w:p>
    <w:p w:rsidR="005B7FFD" w:rsidRPr="005B7FFD" w:rsidRDefault="005B7FFD" w:rsidP="005B7FFD">
      <w:pPr>
        <w:pStyle w:val="txt"/>
        <w:spacing w:line="240" w:lineRule="auto"/>
        <w:rPr>
          <w:rFonts w:asciiTheme="minorHAnsi" w:hAnsiTheme="minorHAnsi"/>
          <w:sz w:val="18"/>
          <w:szCs w:val="18"/>
        </w:rPr>
      </w:pPr>
      <w:r w:rsidRPr="005B7FFD">
        <w:rPr>
          <w:rFonts w:asciiTheme="minorHAnsi" w:hAnsiTheme="minorHAnsi"/>
          <w:sz w:val="18"/>
          <w:szCs w:val="18"/>
        </w:rPr>
        <w:t xml:space="preserve">Celem głównym projektu systemowego „Badanie jakości i efektywności edukacji oraz instytucjonalizacja zaplecza badawczego” (Entuzjaści Edukacji) jest wzmocnienie systemu edukacji w zakresie badań edukacyjnych oraz zwiększenie wykorzystywania wyników badań naukowych w polityce i praktyce edukacyjnej oraz w zarządzaniu oświatą. </w:t>
      </w:r>
      <w:hyperlink r:id="rId11" w:history="1">
        <w:r w:rsidRPr="005B7FFD">
          <w:rPr>
            <w:rStyle w:val="Hipercze"/>
            <w:rFonts w:asciiTheme="minorHAnsi" w:hAnsiTheme="minorHAnsi"/>
            <w:sz w:val="18"/>
            <w:szCs w:val="18"/>
          </w:rPr>
          <w:t>www.eduentuzjasci.pl</w:t>
        </w:r>
      </w:hyperlink>
    </w:p>
    <w:p w:rsidR="005B7FFD" w:rsidRPr="005B7FFD" w:rsidRDefault="005B7FFD" w:rsidP="005B7FFD">
      <w:pPr>
        <w:pStyle w:val="txt"/>
        <w:spacing w:line="240" w:lineRule="auto"/>
        <w:rPr>
          <w:rFonts w:asciiTheme="minorHAnsi" w:hAnsiTheme="minorHAnsi"/>
          <w:b/>
          <w:sz w:val="18"/>
          <w:szCs w:val="18"/>
          <w:u w:val="single"/>
        </w:rPr>
      </w:pPr>
    </w:p>
    <w:p w:rsidR="005B7FFD" w:rsidRPr="005B7FFD" w:rsidRDefault="005B7FFD" w:rsidP="005B7FFD">
      <w:pPr>
        <w:pStyle w:val="txt"/>
        <w:spacing w:line="240" w:lineRule="auto"/>
        <w:rPr>
          <w:rFonts w:asciiTheme="minorHAnsi" w:hAnsiTheme="minorHAnsi"/>
          <w:b/>
          <w:u w:val="single"/>
        </w:rPr>
      </w:pPr>
      <w:r w:rsidRPr="005B7FFD">
        <w:rPr>
          <w:rFonts w:asciiTheme="minorHAnsi" w:hAnsiTheme="minorHAnsi"/>
          <w:b/>
          <w:u w:val="single"/>
        </w:rPr>
        <w:t>Kontakt dla mediów</w:t>
      </w:r>
    </w:p>
    <w:p w:rsidR="005B7FFD" w:rsidRPr="005B7FFD" w:rsidRDefault="005B7FFD" w:rsidP="005B7FFD">
      <w:pPr>
        <w:pStyle w:val="txt"/>
        <w:spacing w:line="240" w:lineRule="auto"/>
        <w:rPr>
          <w:rFonts w:asciiTheme="minorHAnsi" w:hAnsiTheme="minorHAnsi"/>
        </w:rPr>
      </w:pPr>
      <w:r w:rsidRPr="005B7FFD">
        <w:rPr>
          <w:rFonts w:asciiTheme="minorHAnsi" w:hAnsiTheme="minorHAnsi"/>
        </w:rPr>
        <w:t>Natalia Skipietrow, rzecznik prasowy IBE</w:t>
      </w:r>
    </w:p>
    <w:p w:rsidR="00FF2DC3" w:rsidRPr="005B7FFD" w:rsidRDefault="00E25E8B" w:rsidP="005B7FFD">
      <w:pPr>
        <w:pStyle w:val="txt"/>
        <w:spacing w:line="240" w:lineRule="auto"/>
        <w:rPr>
          <w:rFonts w:asciiTheme="minorHAnsi" w:hAnsiTheme="minorHAnsi"/>
          <w:lang w:val="en-US"/>
        </w:rPr>
      </w:pPr>
      <w:hyperlink r:id="rId12" w:history="1">
        <w:r w:rsidR="005B7FFD" w:rsidRPr="005B7FFD">
          <w:rPr>
            <w:rStyle w:val="Hipercze"/>
            <w:rFonts w:asciiTheme="minorHAnsi" w:hAnsiTheme="minorHAnsi"/>
            <w:lang w:val="en-US"/>
          </w:rPr>
          <w:t>n.skipietrow@ibe.edu.pl</w:t>
        </w:r>
      </w:hyperlink>
      <w:r w:rsidR="005B7FFD" w:rsidRPr="005B7FFD">
        <w:rPr>
          <w:rFonts w:asciiTheme="minorHAnsi" w:hAnsiTheme="minorHAnsi"/>
          <w:lang w:val="en-US"/>
        </w:rPr>
        <w:t xml:space="preserve">, tel. (+48 22) 24 17 166,  tel. </w:t>
      </w:r>
      <w:proofErr w:type="spellStart"/>
      <w:r w:rsidR="005B7FFD" w:rsidRPr="005B7FFD">
        <w:rPr>
          <w:rFonts w:asciiTheme="minorHAnsi" w:hAnsiTheme="minorHAnsi"/>
          <w:lang w:val="en-US"/>
        </w:rPr>
        <w:t>kom</w:t>
      </w:r>
      <w:proofErr w:type="spellEnd"/>
      <w:r w:rsidR="005B7FFD" w:rsidRPr="005B7FFD">
        <w:rPr>
          <w:rFonts w:asciiTheme="minorHAnsi" w:hAnsiTheme="minorHAnsi"/>
          <w:lang w:val="en-US"/>
        </w:rPr>
        <w:t>. 695 371 636</w:t>
      </w:r>
    </w:p>
    <w:sectPr w:rsidR="00FF2DC3" w:rsidRPr="005B7FFD" w:rsidSect="005B7FFD">
      <w:headerReference w:type="default" r:id="rId13"/>
      <w:footerReference w:type="default" r:id="rId14"/>
      <w:pgSz w:w="11906" w:h="16838"/>
      <w:pgMar w:top="1382" w:right="851" w:bottom="1418" w:left="1560" w:header="709" w:footer="1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3D8" w:rsidRDefault="007533D8">
      <w:r>
        <w:separator/>
      </w:r>
    </w:p>
  </w:endnote>
  <w:endnote w:type="continuationSeparator" w:id="0">
    <w:p w:rsidR="007533D8" w:rsidRDefault="00753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yriad Pro 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Semi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94" w:rsidRPr="00727094" w:rsidRDefault="00001D94" w:rsidP="00727094">
    <w:pPr>
      <w:spacing w:before="100" w:beforeAutospacing="1" w:after="100" w:afterAutospacing="1"/>
      <w:rPr>
        <w:rFonts w:ascii="Arial" w:hAnsi="Arial" w:cs="Arial"/>
        <w:sz w:val="16"/>
        <w:szCs w:val="16"/>
        <w:lang w:val="pl-PL"/>
      </w:rPr>
    </w:pPr>
    <w:r w:rsidRPr="00727094">
      <w:rPr>
        <w:rFonts w:ascii="Arial" w:hAnsi="Arial" w:cs="Arial"/>
        <w:b/>
        <w:bCs/>
        <w:sz w:val="16"/>
        <w:szCs w:val="16"/>
        <w:lang w:val="pl-PL"/>
      </w:rPr>
      <w:t>Instytut Badań Edukacyjnych</w:t>
    </w:r>
    <w:r w:rsidRPr="00727094">
      <w:rPr>
        <w:rFonts w:ascii="Arial" w:hAnsi="Arial" w:cs="Arial"/>
        <w:sz w:val="16"/>
        <w:szCs w:val="16"/>
        <w:lang w:val="pl-PL"/>
      </w:rPr>
      <w:t xml:space="preserve"> </w:t>
    </w:r>
    <w:r w:rsidRPr="00727094">
      <w:rPr>
        <w:rFonts w:ascii="Arial" w:hAnsi="Arial" w:cs="Arial"/>
        <w:sz w:val="16"/>
        <w:szCs w:val="16"/>
        <w:lang w:val="pl-PL"/>
      </w:rPr>
      <w:br/>
      <w:t xml:space="preserve">ul. </w:t>
    </w:r>
    <w:proofErr w:type="spellStart"/>
    <w:r w:rsidRPr="00727094">
      <w:rPr>
        <w:rFonts w:ascii="Arial" w:hAnsi="Arial" w:cs="Arial"/>
        <w:sz w:val="16"/>
        <w:szCs w:val="16"/>
        <w:lang w:val="pl-PL"/>
      </w:rPr>
      <w:t>Górczewska</w:t>
    </w:r>
    <w:proofErr w:type="spellEnd"/>
    <w:r w:rsidRPr="00727094">
      <w:rPr>
        <w:rFonts w:ascii="Arial" w:hAnsi="Arial" w:cs="Arial"/>
        <w:sz w:val="16"/>
        <w:szCs w:val="16"/>
        <w:lang w:val="pl-PL"/>
      </w:rPr>
      <w:t xml:space="preserve"> 8, 01-180 Warszawa | tel.: +48 22 241 71 00 | ibe@ibe.edu.pl | </w:t>
    </w:r>
    <w:r w:rsidRPr="00727094">
      <w:rPr>
        <w:rFonts w:ascii="Arial" w:hAnsi="Arial" w:cs="Arial"/>
        <w:color w:val="F6891F"/>
        <w:sz w:val="16"/>
        <w:szCs w:val="16"/>
        <w:lang w:val="pl-PL"/>
      </w:rPr>
      <w:t>www.ibe.edu.pl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3D8" w:rsidRDefault="007533D8">
      <w:r>
        <w:separator/>
      </w:r>
    </w:p>
  </w:footnote>
  <w:footnote w:type="continuationSeparator" w:id="0">
    <w:p w:rsidR="007533D8" w:rsidRDefault="007533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94" w:rsidRPr="00AB7DC2" w:rsidRDefault="00720915" w:rsidP="00AB7DC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-85725</wp:posOffset>
          </wp:positionV>
          <wp:extent cx="7556500" cy="10687050"/>
          <wp:effectExtent l="19050" t="0" r="6350" b="0"/>
          <wp:wrapNone/>
          <wp:docPr id="1" name="Obraz 1" descr="informacja-prasowa-IBE-e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nformacja-prasowa-IBE-e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E046A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D3E66AF"/>
    <w:multiLevelType w:val="hybridMultilevel"/>
    <w:tmpl w:val="039E0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2398E"/>
    <w:rsid w:val="00001D94"/>
    <w:rsid w:val="000031CC"/>
    <w:rsid w:val="00006D2B"/>
    <w:rsid w:val="000070E8"/>
    <w:rsid w:val="000246C8"/>
    <w:rsid w:val="00032044"/>
    <w:rsid w:val="00033E89"/>
    <w:rsid w:val="00035847"/>
    <w:rsid w:val="0004650C"/>
    <w:rsid w:val="000476E1"/>
    <w:rsid w:val="00051DCC"/>
    <w:rsid w:val="00053450"/>
    <w:rsid w:val="00057D86"/>
    <w:rsid w:val="00060B9F"/>
    <w:rsid w:val="0006601D"/>
    <w:rsid w:val="00066B4D"/>
    <w:rsid w:val="00067909"/>
    <w:rsid w:val="00067F9D"/>
    <w:rsid w:val="000702DD"/>
    <w:rsid w:val="000713E4"/>
    <w:rsid w:val="00084554"/>
    <w:rsid w:val="00086521"/>
    <w:rsid w:val="0009350F"/>
    <w:rsid w:val="000969B2"/>
    <w:rsid w:val="000A003D"/>
    <w:rsid w:val="000A1A27"/>
    <w:rsid w:val="000A3CBE"/>
    <w:rsid w:val="000A5EB1"/>
    <w:rsid w:val="000A63C9"/>
    <w:rsid w:val="000A7451"/>
    <w:rsid w:val="000B3CD5"/>
    <w:rsid w:val="000C00CF"/>
    <w:rsid w:val="000C0E4A"/>
    <w:rsid w:val="000D0E7B"/>
    <w:rsid w:val="000D20D5"/>
    <w:rsid w:val="000F0930"/>
    <w:rsid w:val="000F54DB"/>
    <w:rsid w:val="001028A2"/>
    <w:rsid w:val="001031D2"/>
    <w:rsid w:val="001040AC"/>
    <w:rsid w:val="0010627F"/>
    <w:rsid w:val="001125FD"/>
    <w:rsid w:val="001154D1"/>
    <w:rsid w:val="001159B7"/>
    <w:rsid w:val="00122A0D"/>
    <w:rsid w:val="00123FD3"/>
    <w:rsid w:val="00135DD3"/>
    <w:rsid w:val="0014002A"/>
    <w:rsid w:val="00142BA9"/>
    <w:rsid w:val="0014526C"/>
    <w:rsid w:val="0015155B"/>
    <w:rsid w:val="00151C8C"/>
    <w:rsid w:val="00154046"/>
    <w:rsid w:val="00171B49"/>
    <w:rsid w:val="00172085"/>
    <w:rsid w:val="00173E40"/>
    <w:rsid w:val="00176961"/>
    <w:rsid w:val="00181AE5"/>
    <w:rsid w:val="0019115D"/>
    <w:rsid w:val="00194665"/>
    <w:rsid w:val="001A12B2"/>
    <w:rsid w:val="001A1B60"/>
    <w:rsid w:val="001A4634"/>
    <w:rsid w:val="001A5062"/>
    <w:rsid w:val="001B26F9"/>
    <w:rsid w:val="001B39FF"/>
    <w:rsid w:val="001B5665"/>
    <w:rsid w:val="001B6597"/>
    <w:rsid w:val="001B7BEC"/>
    <w:rsid w:val="001D30D7"/>
    <w:rsid w:val="001E1A5B"/>
    <w:rsid w:val="001E1D2D"/>
    <w:rsid w:val="001E366A"/>
    <w:rsid w:val="001E717E"/>
    <w:rsid w:val="001E7BB7"/>
    <w:rsid w:val="001F0DBC"/>
    <w:rsid w:val="001F53D6"/>
    <w:rsid w:val="001F5A39"/>
    <w:rsid w:val="001F6F48"/>
    <w:rsid w:val="001F780D"/>
    <w:rsid w:val="00214638"/>
    <w:rsid w:val="0021728F"/>
    <w:rsid w:val="00230EDF"/>
    <w:rsid w:val="0023103D"/>
    <w:rsid w:val="00232919"/>
    <w:rsid w:val="0023309D"/>
    <w:rsid w:val="00236281"/>
    <w:rsid w:val="00273F4F"/>
    <w:rsid w:val="0027637B"/>
    <w:rsid w:val="002768DB"/>
    <w:rsid w:val="00276A3B"/>
    <w:rsid w:val="00280F53"/>
    <w:rsid w:val="00281C4D"/>
    <w:rsid w:val="00285D93"/>
    <w:rsid w:val="0028724A"/>
    <w:rsid w:val="00287586"/>
    <w:rsid w:val="00294DE9"/>
    <w:rsid w:val="002A0034"/>
    <w:rsid w:val="002A0176"/>
    <w:rsid w:val="002B0574"/>
    <w:rsid w:val="002B0D4C"/>
    <w:rsid w:val="002B3F77"/>
    <w:rsid w:val="002B47D6"/>
    <w:rsid w:val="002B7897"/>
    <w:rsid w:val="002C6B75"/>
    <w:rsid w:val="002C73A8"/>
    <w:rsid w:val="002D0757"/>
    <w:rsid w:val="002D4D16"/>
    <w:rsid w:val="002D555E"/>
    <w:rsid w:val="002E0761"/>
    <w:rsid w:val="002E48A2"/>
    <w:rsid w:val="002E6616"/>
    <w:rsid w:val="002E70FD"/>
    <w:rsid w:val="002E7332"/>
    <w:rsid w:val="002F07E7"/>
    <w:rsid w:val="00300839"/>
    <w:rsid w:val="00302006"/>
    <w:rsid w:val="00302955"/>
    <w:rsid w:val="00303CA7"/>
    <w:rsid w:val="00305637"/>
    <w:rsid w:val="00313015"/>
    <w:rsid w:val="00317DCF"/>
    <w:rsid w:val="0032765C"/>
    <w:rsid w:val="00327670"/>
    <w:rsid w:val="00331465"/>
    <w:rsid w:val="003352EF"/>
    <w:rsid w:val="00335471"/>
    <w:rsid w:val="003373B7"/>
    <w:rsid w:val="003419C1"/>
    <w:rsid w:val="00342FDF"/>
    <w:rsid w:val="00345473"/>
    <w:rsid w:val="00346312"/>
    <w:rsid w:val="0035200C"/>
    <w:rsid w:val="00352DEA"/>
    <w:rsid w:val="003544D5"/>
    <w:rsid w:val="0036327B"/>
    <w:rsid w:val="003664D7"/>
    <w:rsid w:val="00375683"/>
    <w:rsid w:val="00376109"/>
    <w:rsid w:val="003761C5"/>
    <w:rsid w:val="00380C14"/>
    <w:rsid w:val="00383BC7"/>
    <w:rsid w:val="00383BC9"/>
    <w:rsid w:val="0038688F"/>
    <w:rsid w:val="00387F89"/>
    <w:rsid w:val="003943E9"/>
    <w:rsid w:val="003976FD"/>
    <w:rsid w:val="003A1EC5"/>
    <w:rsid w:val="003A202E"/>
    <w:rsid w:val="003A3351"/>
    <w:rsid w:val="003A5A1E"/>
    <w:rsid w:val="003A7D23"/>
    <w:rsid w:val="003B1AC2"/>
    <w:rsid w:val="003B563F"/>
    <w:rsid w:val="003B6D9A"/>
    <w:rsid w:val="003C1A4C"/>
    <w:rsid w:val="003C4244"/>
    <w:rsid w:val="003C5F0E"/>
    <w:rsid w:val="003D7112"/>
    <w:rsid w:val="003E17C5"/>
    <w:rsid w:val="003E39E2"/>
    <w:rsid w:val="003E7CE7"/>
    <w:rsid w:val="003F31E9"/>
    <w:rsid w:val="0040063B"/>
    <w:rsid w:val="004011AA"/>
    <w:rsid w:val="00401CC4"/>
    <w:rsid w:val="00406087"/>
    <w:rsid w:val="0040784D"/>
    <w:rsid w:val="00413F96"/>
    <w:rsid w:val="00421576"/>
    <w:rsid w:val="00424AB2"/>
    <w:rsid w:val="0042593C"/>
    <w:rsid w:val="00427C85"/>
    <w:rsid w:val="00431604"/>
    <w:rsid w:val="00433842"/>
    <w:rsid w:val="00434878"/>
    <w:rsid w:val="00435B08"/>
    <w:rsid w:val="00436FDD"/>
    <w:rsid w:val="00452DF0"/>
    <w:rsid w:val="004532CE"/>
    <w:rsid w:val="004567F6"/>
    <w:rsid w:val="00456856"/>
    <w:rsid w:val="004616FC"/>
    <w:rsid w:val="00481508"/>
    <w:rsid w:val="004854F2"/>
    <w:rsid w:val="004913BD"/>
    <w:rsid w:val="00496AB3"/>
    <w:rsid w:val="004A2D81"/>
    <w:rsid w:val="004A4C9D"/>
    <w:rsid w:val="004B405A"/>
    <w:rsid w:val="004B75D6"/>
    <w:rsid w:val="004D3E27"/>
    <w:rsid w:val="004D61C8"/>
    <w:rsid w:val="004E13CA"/>
    <w:rsid w:val="004E2591"/>
    <w:rsid w:val="004E5BB5"/>
    <w:rsid w:val="004E6FBA"/>
    <w:rsid w:val="004F39CB"/>
    <w:rsid w:val="004F6D7B"/>
    <w:rsid w:val="004F736D"/>
    <w:rsid w:val="0051681B"/>
    <w:rsid w:val="005201F9"/>
    <w:rsid w:val="005207F8"/>
    <w:rsid w:val="00520D4E"/>
    <w:rsid w:val="00521EB1"/>
    <w:rsid w:val="00522A31"/>
    <w:rsid w:val="00522F0A"/>
    <w:rsid w:val="00523B64"/>
    <w:rsid w:val="00527D48"/>
    <w:rsid w:val="005323B2"/>
    <w:rsid w:val="00532C78"/>
    <w:rsid w:val="00533C07"/>
    <w:rsid w:val="00533CD5"/>
    <w:rsid w:val="00535B0A"/>
    <w:rsid w:val="005375E8"/>
    <w:rsid w:val="00541CE1"/>
    <w:rsid w:val="00544F7C"/>
    <w:rsid w:val="00545D0B"/>
    <w:rsid w:val="00545F95"/>
    <w:rsid w:val="005564EA"/>
    <w:rsid w:val="005571FE"/>
    <w:rsid w:val="00557ACC"/>
    <w:rsid w:val="00560DCB"/>
    <w:rsid w:val="00563537"/>
    <w:rsid w:val="00567945"/>
    <w:rsid w:val="00573AD9"/>
    <w:rsid w:val="005762E2"/>
    <w:rsid w:val="00576C85"/>
    <w:rsid w:val="00577063"/>
    <w:rsid w:val="005841B4"/>
    <w:rsid w:val="005878DF"/>
    <w:rsid w:val="005958F2"/>
    <w:rsid w:val="005A1EAC"/>
    <w:rsid w:val="005A4CE0"/>
    <w:rsid w:val="005A774F"/>
    <w:rsid w:val="005B0FE0"/>
    <w:rsid w:val="005B459C"/>
    <w:rsid w:val="005B5D0F"/>
    <w:rsid w:val="005B7FFD"/>
    <w:rsid w:val="005C2062"/>
    <w:rsid w:val="005C72F0"/>
    <w:rsid w:val="005D0DC7"/>
    <w:rsid w:val="005D7E01"/>
    <w:rsid w:val="005E0E9D"/>
    <w:rsid w:val="005E1DBB"/>
    <w:rsid w:val="005E223A"/>
    <w:rsid w:val="005E326E"/>
    <w:rsid w:val="005E5716"/>
    <w:rsid w:val="005F306F"/>
    <w:rsid w:val="005F42F4"/>
    <w:rsid w:val="005F7C1A"/>
    <w:rsid w:val="00611F81"/>
    <w:rsid w:val="006147A0"/>
    <w:rsid w:val="00615948"/>
    <w:rsid w:val="00615BC1"/>
    <w:rsid w:val="00615E96"/>
    <w:rsid w:val="00620A92"/>
    <w:rsid w:val="0062398E"/>
    <w:rsid w:val="006431DC"/>
    <w:rsid w:val="00650FC9"/>
    <w:rsid w:val="00664A0C"/>
    <w:rsid w:val="0066553D"/>
    <w:rsid w:val="006667A1"/>
    <w:rsid w:val="00667002"/>
    <w:rsid w:val="00667148"/>
    <w:rsid w:val="006710F7"/>
    <w:rsid w:val="006753D6"/>
    <w:rsid w:val="006805DF"/>
    <w:rsid w:val="0068314A"/>
    <w:rsid w:val="0068340B"/>
    <w:rsid w:val="0068411D"/>
    <w:rsid w:val="00691FB6"/>
    <w:rsid w:val="006951B5"/>
    <w:rsid w:val="006A0E90"/>
    <w:rsid w:val="006A3664"/>
    <w:rsid w:val="006A4429"/>
    <w:rsid w:val="006A7D97"/>
    <w:rsid w:val="006B0238"/>
    <w:rsid w:val="006B060A"/>
    <w:rsid w:val="006B4539"/>
    <w:rsid w:val="006C3965"/>
    <w:rsid w:val="006C4CB5"/>
    <w:rsid w:val="006C6FB1"/>
    <w:rsid w:val="006D34E4"/>
    <w:rsid w:val="006D442E"/>
    <w:rsid w:val="006D5189"/>
    <w:rsid w:val="006D795C"/>
    <w:rsid w:val="006E29B8"/>
    <w:rsid w:val="006E653A"/>
    <w:rsid w:val="006F2AC9"/>
    <w:rsid w:val="006F2AD5"/>
    <w:rsid w:val="006F570A"/>
    <w:rsid w:val="006F73DE"/>
    <w:rsid w:val="00702370"/>
    <w:rsid w:val="00703F51"/>
    <w:rsid w:val="00706008"/>
    <w:rsid w:val="00710967"/>
    <w:rsid w:val="007127EB"/>
    <w:rsid w:val="0071323E"/>
    <w:rsid w:val="00715BDF"/>
    <w:rsid w:val="00720915"/>
    <w:rsid w:val="007213DE"/>
    <w:rsid w:val="00723604"/>
    <w:rsid w:val="007256A8"/>
    <w:rsid w:val="00727094"/>
    <w:rsid w:val="00732DBA"/>
    <w:rsid w:val="00735A61"/>
    <w:rsid w:val="007373FC"/>
    <w:rsid w:val="00740CB3"/>
    <w:rsid w:val="00747E24"/>
    <w:rsid w:val="00751088"/>
    <w:rsid w:val="007533D8"/>
    <w:rsid w:val="00756A4A"/>
    <w:rsid w:val="007606EB"/>
    <w:rsid w:val="00761DFF"/>
    <w:rsid w:val="00764B65"/>
    <w:rsid w:val="00772135"/>
    <w:rsid w:val="0077220C"/>
    <w:rsid w:val="00772B3F"/>
    <w:rsid w:val="0079231A"/>
    <w:rsid w:val="007A152E"/>
    <w:rsid w:val="007A446E"/>
    <w:rsid w:val="007A4519"/>
    <w:rsid w:val="007B71FC"/>
    <w:rsid w:val="007C1ADA"/>
    <w:rsid w:val="007C36F3"/>
    <w:rsid w:val="007D7E8E"/>
    <w:rsid w:val="007E1F93"/>
    <w:rsid w:val="007E3DED"/>
    <w:rsid w:val="007E4A8C"/>
    <w:rsid w:val="007E6A71"/>
    <w:rsid w:val="007F3828"/>
    <w:rsid w:val="007F4941"/>
    <w:rsid w:val="007F62F8"/>
    <w:rsid w:val="00802CDF"/>
    <w:rsid w:val="00814BDB"/>
    <w:rsid w:val="0081728A"/>
    <w:rsid w:val="008172E0"/>
    <w:rsid w:val="00820F3D"/>
    <w:rsid w:val="00825270"/>
    <w:rsid w:val="00827451"/>
    <w:rsid w:val="0083055A"/>
    <w:rsid w:val="00830AFA"/>
    <w:rsid w:val="00831969"/>
    <w:rsid w:val="00832DA9"/>
    <w:rsid w:val="008354BD"/>
    <w:rsid w:val="00835A83"/>
    <w:rsid w:val="00836BFD"/>
    <w:rsid w:val="00837C31"/>
    <w:rsid w:val="008439F6"/>
    <w:rsid w:val="00844790"/>
    <w:rsid w:val="00845974"/>
    <w:rsid w:val="00847F80"/>
    <w:rsid w:val="00854B29"/>
    <w:rsid w:val="008574CE"/>
    <w:rsid w:val="0087000D"/>
    <w:rsid w:val="00871D0D"/>
    <w:rsid w:val="00872389"/>
    <w:rsid w:val="008728D3"/>
    <w:rsid w:val="00882D57"/>
    <w:rsid w:val="00885BDE"/>
    <w:rsid w:val="00887756"/>
    <w:rsid w:val="008900A6"/>
    <w:rsid w:val="00891323"/>
    <w:rsid w:val="0089383C"/>
    <w:rsid w:val="008941AF"/>
    <w:rsid w:val="008964FC"/>
    <w:rsid w:val="00897260"/>
    <w:rsid w:val="008A2A59"/>
    <w:rsid w:val="008A6351"/>
    <w:rsid w:val="008B1DD0"/>
    <w:rsid w:val="008B2027"/>
    <w:rsid w:val="008C0071"/>
    <w:rsid w:val="008C18A3"/>
    <w:rsid w:val="008D16DE"/>
    <w:rsid w:val="008F2619"/>
    <w:rsid w:val="008F6C4F"/>
    <w:rsid w:val="00900EB5"/>
    <w:rsid w:val="009049C4"/>
    <w:rsid w:val="009057C6"/>
    <w:rsid w:val="009152CE"/>
    <w:rsid w:val="00915B91"/>
    <w:rsid w:val="0092617A"/>
    <w:rsid w:val="00942C67"/>
    <w:rsid w:val="009447BF"/>
    <w:rsid w:val="00951493"/>
    <w:rsid w:val="0095251E"/>
    <w:rsid w:val="009528C5"/>
    <w:rsid w:val="00953E8A"/>
    <w:rsid w:val="00956469"/>
    <w:rsid w:val="009577CB"/>
    <w:rsid w:val="00966423"/>
    <w:rsid w:val="00966612"/>
    <w:rsid w:val="009676A2"/>
    <w:rsid w:val="0097037E"/>
    <w:rsid w:val="00970B6B"/>
    <w:rsid w:val="00973FC6"/>
    <w:rsid w:val="00977230"/>
    <w:rsid w:val="00977296"/>
    <w:rsid w:val="00982C8F"/>
    <w:rsid w:val="00990040"/>
    <w:rsid w:val="00991F05"/>
    <w:rsid w:val="009A6B78"/>
    <w:rsid w:val="009B531B"/>
    <w:rsid w:val="009C3AE4"/>
    <w:rsid w:val="009C657F"/>
    <w:rsid w:val="009D2588"/>
    <w:rsid w:val="009D299B"/>
    <w:rsid w:val="009D5ED1"/>
    <w:rsid w:val="009D71DB"/>
    <w:rsid w:val="009E0C70"/>
    <w:rsid w:val="009E212D"/>
    <w:rsid w:val="009E4757"/>
    <w:rsid w:val="009F4798"/>
    <w:rsid w:val="00A035BF"/>
    <w:rsid w:val="00A251EF"/>
    <w:rsid w:val="00A25E0F"/>
    <w:rsid w:val="00A30C4A"/>
    <w:rsid w:val="00A32645"/>
    <w:rsid w:val="00A36E7A"/>
    <w:rsid w:val="00A41130"/>
    <w:rsid w:val="00A437B7"/>
    <w:rsid w:val="00A44C81"/>
    <w:rsid w:val="00A73E20"/>
    <w:rsid w:val="00A76D9B"/>
    <w:rsid w:val="00A8118A"/>
    <w:rsid w:val="00A90F8A"/>
    <w:rsid w:val="00A92939"/>
    <w:rsid w:val="00A95963"/>
    <w:rsid w:val="00A95F4C"/>
    <w:rsid w:val="00A96AE0"/>
    <w:rsid w:val="00AA6ADB"/>
    <w:rsid w:val="00AA7038"/>
    <w:rsid w:val="00AA7F31"/>
    <w:rsid w:val="00AB392E"/>
    <w:rsid w:val="00AB76E8"/>
    <w:rsid w:val="00AB7DC2"/>
    <w:rsid w:val="00AC0B31"/>
    <w:rsid w:val="00AC3B28"/>
    <w:rsid w:val="00AC4482"/>
    <w:rsid w:val="00AC6810"/>
    <w:rsid w:val="00AC7C56"/>
    <w:rsid w:val="00AE234E"/>
    <w:rsid w:val="00AF0B4C"/>
    <w:rsid w:val="00AF11AA"/>
    <w:rsid w:val="00AF1B13"/>
    <w:rsid w:val="00AF5D63"/>
    <w:rsid w:val="00AF6FB1"/>
    <w:rsid w:val="00B00805"/>
    <w:rsid w:val="00B07437"/>
    <w:rsid w:val="00B101F3"/>
    <w:rsid w:val="00B23290"/>
    <w:rsid w:val="00B242E1"/>
    <w:rsid w:val="00B243B1"/>
    <w:rsid w:val="00B24596"/>
    <w:rsid w:val="00B33EB2"/>
    <w:rsid w:val="00B3424F"/>
    <w:rsid w:val="00B34365"/>
    <w:rsid w:val="00B44109"/>
    <w:rsid w:val="00B47DE6"/>
    <w:rsid w:val="00B47F5C"/>
    <w:rsid w:val="00B5196C"/>
    <w:rsid w:val="00B51C9C"/>
    <w:rsid w:val="00B51D98"/>
    <w:rsid w:val="00B52AEE"/>
    <w:rsid w:val="00B57784"/>
    <w:rsid w:val="00B71716"/>
    <w:rsid w:val="00B71DA5"/>
    <w:rsid w:val="00B720C2"/>
    <w:rsid w:val="00B76566"/>
    <w:rsid w:val="00B76C91"/>
    <w:rsid w:val="00B7748F"/>
    <w:rsid w:val="00B8552A"/>
    <w:rsid w:val="00B90430"/>
    <w:rsid w:val="00B91F1B"/>
    <w:rsid w:val="00B945FA"/>
    <w:rsid w:val="00B94F79"/>
    <w:rsid w:val="00BA0BF0"/>
    <w:rsid w:val="00BA2BE1"/>
    <w:rsid w:val="00BA47C6"/>
    <w:rsid w:val="00BB0EC3"/>
    <w:rsid w:val="00BB2703"/>
    <w:rsid w:val="00BC1521"/>
    <w:rsid w:val="00BC503D"/>
    <w:rsid w:val="00BD01F9"/>
    <w:rsid w:val="00BD0512"/>
    <w:rsid w:val="00BD5476"/>
    <w:rsid w:val="00BE4CD2"/>
    <w:rsid w:val="00BE58B7"/>
    <w:rsid w:val="00BF1846"/>
    <w:rsid w:val="00BF2778"/>
    <w:rsid w:val="00C00F1F"/>
    <w:rsid w:val="00C04974"/>
    <w:rsid w:val="00C07BE0"/>
    <w:rsid w:val="00C1041B"/>
    <w:rsid w:val="00C13D4D"/>
    <w:rsid w:val="00C15835"/>
    <w:rsid w:val="00C34CFF"/>
    <w:rsid w:val="00C420C1"/>
    <w:rsid w:val="00C43B25"/>
    <w:rsid w:val="00C4536B"/>
    <w:rsid w:val="00C454D3"/>
    <w:rsid w:val="00C50700"/>
    <w:rsid w:val="00C52752"/>
    <w:rsid w:val="00C6246F"/>
    <w:rsid w:val="00C838F7"/>
    <w:rsid w:val="00C86249"/>
    <w:rsid w:val="00C872F5"/>
    <w:rsid w:val="00C9067F"/>
    <w:rsid w:val="00C921C4"/>
    <w:rsid w:val="00C96F2E"/>
    <w:rsid w:val="00C97A8F"/>
    <w:rsid w:val="00CA17DA"/>
    <w:rsid w:val="00CA25B5"/>
    <w:rsid w:val="00CA5613"/>
    <w:rsid w:val="00CA57C7"/>
    <w:rsid w:val="00CB1429"/>
    <w:rsid w:val="00CB1F1C"/>
    <w:rsid w:val="00CB22A3"/>
    <w:rsid w:val="00CB2719"/>
    <w:rsid w:val="00CC0081"/>
    <w:rsid w:val="00CC2315"/>
    <w:rsid w:val="00CC490E"/>
    <w:rsid w:val="00CD25F5"/>
    <w:rsid w:val="00CD7031"/>
    <w:rsid w:val="00CF1490"/>
    <w:rsid w:val="00CF2F46"/>
    <w:rsid w:val="00CF37F4"/>
    <w:rsid w:val="00D04F19"/>
    <w:rsid w:val="00D05643"/>
    <w:rsid w:val="00D1420E"/>
    <w:rsid w:val="00D17CBB"/>
    <w:rsid w:val="00D344FF"/>
    <w:rsid w:val="00D50A58"/>
    <w:rsid w:val="00D54B3E"/>
    <w:rsid w:val="00D6513C"/>
    <w:rsid w:val="00D71BF7"/>
    <w:rsid w:val="00D767BD"/>
    <w:rsid w:val="00D77CCC"/>
    <w:rsid w:val="00D77F34"/>
    <w:rsid w:val="00D80237"/>
    <w:rsid w:val="00D8228A"/>
    <w:rsid w:val="00D82D2A"/>
    <w:rsid w:val="00D86145"/>
    <w:rsid w:val="00D87CE5"/>
    <w:rsid w:val="00D95456"/>
    <w:rsid w:val="00DA1EC4"/>
    <w:rsid w:val="00DA3A5A"/>
    <w:rsid w:val="00DA5DA5"/>
    <w:rsid w:val="00DA7966"/>
    <w:rsid w:val="00DB01FC"/>
    <w:rsid w:val="00DB356A"/>
    <w:rsid w:val="00DB6353"/>
    <w:rsid w:val="00DC682E"/>
    <w:rsid w:val="00DD1C43"/>
    <w:rsid w:val="00DD24E1"/>
    <w:rsid w:val="00DD5CDA"/>
    <w:rsid w:val="00DD6067"/>
    <w:rsid w:val="00DE095A"/>
    <w:rsid w:val="00DE2E73"/>
    <w:rsid w:val="00DE30A8"/>
    <w:rsid w:val="00DE40E4"/>
    <w:rsid w:val="00DE4184"/>
    <w:rsid w:val="00DE44DE"/>
    <w:rsid w:val="00DF19C6"/>
    <w:rsid w:val="00E107F8"/>
    <w:rsid w:val="00E1603E"/>
    <w:rsid w:val="00E25B86"/>
    <w:rsid w:val="00E25E8B"/>
    <w:rsid w:val="00E26A0D"/>
    <w:rsid w:val="00E35051"/>
    <w:rsid w:val="00E42E6C"/>
    <w:rsid w:val="00E473B0"/>
    <w:rsid w:val="00E57371"/>
    <w:rsid w:val="00E674E5"/>
    <w:rsid w:val="00E67F78"/>
    <w:rsid w:val="00E71F38"/>
    <w:rsid w:val="00E74941"/>
    <w:rsid w:val="00E8043C"/>
    <w:rsid w:val="00E8066B"/>
    <w:rsid w:val="00E85A8F"/>
    <w:rsid w:val="00E927B4"/>
    <w:rsid w:val="00E94C76"/>
    <w:rsid w:val="00E95262"/>
    <w:rsid w:val="00E96861"/>
    <w:rsid w:val="00E97832"/>
    <w:rsid w:val="00EA377F"/>
    <w:rsid w:val="00EB0B64"/>
    <w:rsid w:val="00EB2D30"/>
    <w:rsid w:val="00EB2E9C"/>
    <w:rsid w:val="00EB4387"/>
    <w:rsid w:val="00EB4F64"/>
    <w:rsid w:val="00EC1B34"/>
    <w:rsid w:val="00EC5D55"/>
    <w:rsid w:val="00EE226D"/>
    <w:rsid w:val="00EE3D83"/>
    <w:rsid w:val="00EF2330"/>
    <w:rsid w:val="00F00C75"/>
    <w:rsid w:val="00F01284"/>
    <w:rsid w:val="00F02161"/>
    <w:rsid w:val="00F034C8"/>
    <w:rsid w:val="00F034EE"/>
    <w:rsid w:val="00F11EFB"/>
    <w:rsid w:val="00F1323A"/>
    <w:rsid w:val="00F16DE4"/>
    <w:rsid w:val="00F1759F"/>
    <w:rsid w:val="00F17EC3"/>
    <w:rsid w:val="00F31B6E"/>
    <w:rsid w:val="00F32D40"/>
    <w:rsid w:val="00F366CF"/>
    <w:rsid w:val="00F378C4"/>
    <w:rsid w:val="00F42162"/>
    <w:rsid w:val="00F443A8"/>
    <w:rsid w:val="00F45232"/>
    <w:rsid w:val="00F452EF"/>
    <w:rsid w:val="00F506B2"/>
    <w:rsid w:val="00F56655"/>
    <w:rsid w:val="00F56A0C"/>
    <w:rsid w:val="00F62659"/>
    <w:rsid w:val="00F65649"/>
    <w:rsid w:val="00F6573B"/>
    <w:rsid w:val="00F660A3"/>
    <w:rsid w:val="00F72EC8"/>
    <w:rsid w:val="00F80D0E"/>
    <w:rsid w:val="00F8106B"/>
    <w:rsid w:val="00FA3B9A"/>
    <w:rsid w:val="00FA6AC5"/>
    <w:rsid w:val="00FB13A2"/>
    <w:rsid w:val="00FB3E0B"/>
    <w:rsid w:val="00FB5FA9"/>
    <w:rsid w:val="00FB76F2"/>
    <w:rsid w:val="00FC0A43"/>
    <w:rsid w:val="00FD14A3"/>
    <w:rsid w:val="00FD3A06"/>
    <w:rsid w:val="00FD5E00"/>
    <w:rsid w:val="00FD6B6A"/>
    <w:rsid w:val="00FE7F31"/>
    <w:rsid w:val="00FF0C42"/>
    <w:rsid w:val="00FF2DC3"/>
    <w:rsid w:val="00FF325C"/>
    <w:rsid w:val="00FF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1FC"/>
    <w:rPr>
      <w:sz w:val="24"/>
      <w:szCs w:val="24"/>
      <w:lang w:val="pt-PT" w:eastAsia="pt-PT"/>
    </w:rPr>
  </w:style>
  <w:style w:type="paragraph" w:styleId="Nagwek1">
    <w:name w:val="heading 1"/>
    <w:basedOn w:val="Normalny"/>
    <w:next w:val="Normalny"/>
    <w:link w:val="Nagwek1Znak"/>
    <w:qFormat/>
    <w:rsid w:val="001720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B7DC2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rsid w:val="00AB7DC2"/>
    <w:pPr>
      <w:tabs>
        <w:tab w:val="center" w:pos="4252"/>
        <w:tab w:val="right" w:pos="8504"/>
      </w:tabs>
    </w:pPr>
  </w:style>
  <w:style w:type="paragraph" w:styleId="NormalnyWeb">
    <w:name w:val="Normal (Web)"/>
    <w:basedOn w:val="Normalny"/>
    <w:rsid w:val="00A25E0F"/>
    <w:pPr>
      <w:spacing w:before="100" w:beforeAutospacing="1" w:after="100" w:afterAutospacing="1"/>
    </w:pPr>
  </w:style>
  <w:style w:type="character" w:styleId="Hipercze">
    <w:name w:val="Hyperlink"/>
    <w:uiPriority w:val="99"/>
    <w:rsid w:val="007F3828"/>
    <w:rPr>
      <w:color w:val="0000FF"/>
      <w:u w:val="single"/>
    </w:rPr>
  </w:style>
  <w:style w:type="paragraph" w:customStyle="1" w:styleId="txt">
    <w:name w:val="txt"/>
    <w:basedOn w:val="Normalny"/>
    <w:uiPriority w:val="99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rsid w:val="003A202E"/>
    <w:pPr>
      <w:spacing w:line="260" w:lineRule="exact"/>
    </w:pPr>
    <w:rPr>
      <w:rFonts w:ascii="Arial" w:hAnsi="Arial" w:cs="Arial"/>
      <w:b/>
      <w:szCs w:val="20"/>
      <w:lang w:val="pl-PL"/>
    </w:rPr>
  </w:style>
  <w:style w:type="character" w:customStyle="1" w:styleId="tytulZnak">
    <w:name w:val="tytul Znak"/>
    <w:link w:val="tytul"/>
    <w:rsid w:val="003A202E"/>
    <w:rPr>
      <w:rFonts w:ascii="Arial" w:hAnsi="Arial" w:cs="Arial"/>
      <w:b/>
      <w:sz w:val="24"/>
      <w:lang w:val="pl-PL" w:eastAsia="pt-PT" w:bidi="ar-SA"/>
    </w:rPr>
  </w:style>
  <w:style w:type="paragraph" w:customStyle="1" w:styleId="informacjaprasowa">
    <w:name w:val="informacja prasowa"/>
    <w:basedOn w:val="txt"/>
    <w:rsid w:val="003A202E"/>
    <w:rPr>
      <w:b/>
      <w:bCs/>
      <w:color w:val="F78F1E"/>
      <w:sz w:val="24"/>
    </w:rPr>
  </w:style>
  <w:style w:type="table" w:styleId="Tabela-Siatka">
    <w:name w:val="Table Grid"/>
    <w:basedOn w:val="Standardowy"/>
    <w:rsid w:val="00273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rsid w:val="00280F53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6A3664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rsid w:val="006A3664"/>
    <w:rPr>
      <w:rFonts w:ascii="Lucida Grande" w:hAnsi="Lucida Grande" w:cs="Lucida Grande"/>
      <w:sz w:val="18"/>
      <w:szCs w:val="18"/>
      <w:lang w:val="pt-PT" w:eastAsia="pt-PT"/>
    </w:rPr>
  </w:style>
  <w:style w:type="character" w:styleId="Odwoaniedokomentarza">
    <w:name w:val="annotation reference"/>
    <w:basedOn w:val="Domylnaczcionkaakapitu"/>
    <w:rsid w:val="00DA796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79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A7966"/>
    <w:rPr>
      <w:lang w:val="pt-PT" w:eastAsia="pt-PT"/>
    </w:rPr>
  </w:style>
  <w:style w:type="paragraph" w:styleId="Tematkomentarza">
    <w:name w:val="annotation subject"/>
    <w:basedOn w:val="Tekstkomentarza"/>
    <w:next w:val="Tekstkomentarza"/>
    <w:link w:val="TematkomentarzaZnak"/>
    <w:rsid w:val="00DA79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A7966"/>
    <w:rPr>
      <w:b/>
      <w:bCs/>
      <w:lang w:val="pt-PT" w:eastAsia="pt-PT"/>
    </w:rPr>
  </w:style>
  <w:style w:type="paragraph" w:styleId="Tekstprzypisukocowego">
    <w:name w:val="endnote text"/>
    <w:basedOn w:val="Normalny"/>
    <w:link w:val="TekstprzypisukocowegoZnak"/>
    <w:rsid w:val="001F53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F53D6"/>
    <w:rPr>
      <w:lang w:val="pt-PT" w:eastAsia="pt-PT"/>
    </w:rPr>
  </w:style>
  <w:style w:type="character" w:styleId="Odwoanieprzypisukocowego">
    <w:name w:val="endnote reference"/>
    <w:basedOn w:val="Domylnaczcionkaakapitu"/>
    <w:rsid w:val="001F53D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B5665"/>
    <w:rPr>
      <w:b/>
      <w:bCs/>
    </w:rPr>
  </w:style>
  <w:style w:type="paragraph" w:customStyle="1" w:styleId="Normalny1">
    <w:name w:val="Normalny1"/>
    <w:rsid w:val="00814BD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172085"/>
    <w:rPr>
      <w:rFonts w:ascii="Cambria" w:eastAsia="Times New Roman" w:hAnsi="Cambria" w:cs="Times New Roman"/>
      <w:b/>
      <w:bCs/>
      <w:kern w:val="32"/>
      <w:sz w:val="32"/>
      <w:szCs w:val="32"/>
      <w:lang w:val="pt-PT" w:eastAsia="pt-PT"/>
    </w:rPr>
  </w:style>
  <w:style w:type="character" w:customStyle="1" w:styleId="InternetLink">
    <w:name w:val="Internet Link"/>
    <w:rsid w:val="002A0176"/>
    <w:rPr>
      <w:color w:val="0000FF"/>
      <w:u w:val="single"/>
    </w:rPr>
  </w:style>
  <w:style w:type="paragraph" w:customStyle="1" w:styleId="Default">
    <w:name w:val="Default"/>
    <w:rsid w:val="005B7FFD"/>
    <w:pPr>
      <w:autoSpaceDE w:val="0"/>
      <w:autoSpaceDN w:val="0"/>
      <w:adjustRightInd w:val="0"/>
    </w:pPr>
    <w:rPr>
      <w:rFonts w:ascii="Myriad Pro Light" w:hAnsi="Myriad Pro Light" w:cs="Myriad Pro Ligh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031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.skipietrow@ibe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entuzjasci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be.edu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10014844473715552"/>
          <c:y val="0.18587748197348691"/>
          <c:w val="0.87745426100313062"/>
          <c:h val="0.3105178958628636"/>
        </c:manualLayout>
      </c:layout>
      <c:lineChart>
        <c:grouping val="standard"/>
        <c:ser>
          <c:idx val="0"/>
          <c:order val="0"/>
          <c:tx>
            <c:strRef>
              <c:f>Arkusz1!$B$1</c:f>
              <c:strCache>
                <c:ptCount val="1"/>
                <c:pt idx="0">
                  <c:v>W klasach 4-6 szkoły podstawowej bądź wcześniej</c:v>
                </c:pt>
              </c:strCache>
            </c:strRef>
          </c:tx>
          <c:spPr>
            <a:ln w="38100">
              <a:solidFill>
                <a:srgbClr val="FFE943"/>
              </a:solidFill>
            </a:ln>
          </c:spPr>
          <c:marker>
            <c:symbol val="none"/>
          </c:marker>
          <c:cat>
            <c:strRef>
              <c:f>Arkusz1!$A$2:$A$32</c:f>
              <c:strCache>
                <c:ptCount val="31"/>
                <c:pt idx="0">
                  <c:v>Higiena narządów płciowych</c:v>
                </c:pt>
                <c:pt idx="1">
                  <c:v>Budowa narządów płciowych</c:v>
                </c:pt>
                <c:pt idx="2">
                  <c:v>Zmiany organizmu okr. dojrzewania</c:v>
                </c:pt>
                <c:pt idx="3">
                  <c:v>Wartości rodzinne</c:v>
                </c:pt>
                <c:pt idx="4">
                  <c:v>Zmiany psychiczne okr. dojrzewania</c:v>
                </c:pt>
                <c:pt idx="5">
                  <c:v>Prawo do wzajemnego szacunku</c:v>
                </c:pt>
                <c:pt idx="6">
                  <c:v>Zmiany emocjonalne okr. dojrzewania</c:v>
                </c:pt>
                <c:pt idx="7">
                  <c:v>Wzajemne zaufanie</c:v>
                </c:pt>
                <c:pt idx="8">
                  <c:v>Emocje</c:v>
                </c:pt>
                <c:pt idx="9">
                  <c:v>Miłość jako podst. małżeństwa</c:v>
                </c:pt>
                <c:pt idx="10">
                  <c:v>Fazy płodności i niepłodności</c:v>
                </c:pt>
                <c:pt idx="11">
                  <c:v>Przemoc seksualna</c:v>
                </c:pt>
                <c:pt idx="12">
                  <c:v>Prawo do intymności</c:v>
                </c:pt>
                <c:pt idx="13">
                  <c:v>Wierność jako uniwers. wartość</c:v>
                </c:pt>
                <c:pt idx="14">
                  <c:v>Pornografia</c:v>
                </c:pt>
                <c:pt idx="15">
                  <c:v>Orientacje seks. i identyf. płciowa</c:v>
                </c:pt>
                <c:pt idx="16">
                  <c:v>Choroby weneryczne</c:v>
                </c:pt>
                <c:pt idx="17">
                  <c:v>Ryzykowne zachowania seksualne</c:v>
                </c:pt>
                <c:pt idx="18">
                  <c:v>Inicjacja seksualna</c:v>
                </c:pt>
                <c:pt idx="19">
                  <c:v>Wstrzemięźliwość seksualna</c:v>
                </c:pt>
                <c:pt idx="20">
                  <c:v>Popęd seksualny</c:v>
                </c:pt>
                <c:pt idx="21">
                  <c:v>Kwestie moralne w relacjach</c:v>
                </c:pt>
                <c:pt idx="22">
                  <c:v>Zbyt wczesne rodzicielstwo</c:v>
                </c:pt>
                <c:pt idx="23">
                  <c:v>Masturbacja</c:v>
                </c:pt>
                <c:pt idx="24">
                  <c:v>Antykoncepcja</c:v>
                </c:pt>
                <c:pt idx="25">
                  <c:v>Ciąża, poród, opieka</c:v>
                </c:pt>
                <c:pt idx="26">
                  <c:v>Przebieg stosunku</c:v>
                </c:pt>
                <c:pt idx="27">
                  <c:v>Zalecenia zdrowotne - ciąża</c:v>
                </c:pt>
                <c:pt idx="28">
                  <c:v>Życie seks. jako źródło satysfakcji</c:v>
                </c:pt>
                <c:pt idx="29">
                  <c:v>Aborcja w prawie polskim</c:v>
                </c:pt>
                <c:pt idx="30">
                  <c:v>Przebieg aborcji i jej skutki</c:v>
                </c:pt>
              </c:strCache>
            </c:strRef>
          </c:cat>
          <c:val>
            <c:numRef>
              <c:f>Arkusz1!$B$2:$B$32</c:f>
              <c:numCache>
                <c:formatCode>0%</c:formatCode>
                <c:ptCount val="31"/>
                <c:pt idx="0">
                  <c:v>0.90594616453750443</c:v>
                </c:pt>
                <c:pt idx="1">
                  <c:v>0.79450623033587264</c:v>
                </c:pt>
                <c:pt idx="2">
                  <c:v>0.80362689407429455</c:v>
                </c:pt>
                <c:pt idx="3">
                  <c:v>0.73368624751124767</c:v>
                </c:pt>
                <c:pt idx="4">
                  <c:v>0.72325887189196758</c:v>
                </c:pt>
                <c:pt idx="5">
                  <c:v>0.71137839170007844</c:v>
                </c:pt>
                <c:pt idx="6">
                  <c:v>0.70307147648107082</c:v>
                </c:pt>
                <c:pt idx="7">
                  <c:v>0.70422448759761769</c:v>
                </c:pt>
                <c:pt idx="8">
                  <c:v>0.68291494003309483</c:v>
                </c:pt>
                <c:pt idx="9">
                  <c:v>0.56673642359755561</c:v>
                </c:pt>
                <c:pt idx="10">
                  <c:v>0.56164679728964761</c:v>
                </c:pt>
                <c:pt idx="11">
                  <c:v>0.52489129273439694</c:v>
                </c:pt>
                <c:pt idx="12">
                  <c:v>0.51713230239204266</c:v>
                </c:pt>
                <c:pt idx="13">
                  <c:v>0.50209131906929405</c:v>
                </c:pt>
                <c:pt idx="14">
                  <c:v>0.44579139684748526</c:v>
                </c:pt>
                <c:pt idx="15">
                  <c:v>0.43892005678150781</c:v>
                </c:pt>
                <c:pt idx="16">
                  <c:v>0.38046055825704506</c:v>
                </c:pt>
                <c:pt idx="17">
                  <c:v>0.34321568763546534</c:v>
                </c:pt>
                <c:pt idx="18">
                  <c:v>0.33170200760421636</c:v>
                </c:pt>
                <c:pt idx="19">
                  <c:v>0.3165615334337844</c:v>
                </c:pt>
                <c:pt idx="20">
                  <c:v>0.32937319944785326</c:v>
                </c:pt>
                <c:pt idx="21">
                  <c:v>0.31514709171241911</c:v>
                </c:pt>
                <c:pt idx="22">
                  <c:v>0.30983713591127438</c:v>
                </c:pt>
                <c:pt idx="23">
                  <c:v>0.23284125156804991</c:v>
                </c:pt>
                <c:pt idx="24">
                  <c:v>0.2723510429003082</c:v>
                </c:pt>
                <c:pt idx="25">
                  <c:v>0.25706997361279782</c:v>
                </c:pt>
                <c:pt idx="26">
                  <c:v>0.19611885004633806</c:v>
                </c:pt>
                <c:pt idx="27">
                  <c:v>0.19790178268794306</c:v>
                </c:pt>
                <c:pt idx="28">
                  <c:v>0.16431237720231273</c:v>
                </c:pt>
                <c:pt idx="29">
                  <c:v>0.161496658882331</c:v>
                </c:pt>
                <c:pt idx="30">
                  <c:v>0.1563568961254988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 gimnazjum bądź później</c:v>
                </c:pt>
              </c:strCache>
            </c:strRef>
          </c:tx>
          <c:spPr>
            <a:ln w="38100">
              <a:solidFill>
                <a:srgbClr val="62B8E8"/>
              </a:solidFill>
            </a:ln>
          </c:spPr>
          <c:marker>
            <c:symbol val="none"/>
          </c:marker>
          <c:cat>
            <c:strRef>
              <c:f>Arkusz1!$A$2:$A$32</c:f>
              <c:strCache>
                <c:ptCount val="31"/>
                <c:pt idx="0">
                  <c:v>Higiena narządów płciowych</c:v>
                </c:pt>
                <c:pt idx="1">
                  <c:v>Budowa narządów płciowych</c:v>
                </c:pt>
                <c:pt idx="2">
                  <c:v>Zmiany organizmu okr. dojrzewania</c:v>
                </c:pt>
                <c:pt idx="3">
                  <c:v>Wartości rodzinne</c:v>
                </c:pt>
                <c:pt idx="4">
                  <c:v>Zmiany psychiczne okr. dojrzewania</c:v>
                </c:pt>
                <c:pt idx="5">
                  <c:v>Prawo do wzajemnego szacunku</c:v>
                </c:pt>
                <c:pt idx="6">
                  <c:v>Zmiany emocjonalne okr. dojrzewania</c:v>
                </c:pt>
                <c:pt idx="7">
                  <c:v>Wzajemne zaufanie</c:v>
                </c:pt>
                <c:pt idx="8">
                  <c:v>Emocje</c:v>
                </c:pt>
                <c:pt idx="9">
                  <c:v>Miłość jako podst. małżeństwa</c:v>
                </c:pt>
                <c:pt idx="10">
                  <c:v>Fazy płodności i niepłodności</c:v>
                </c:pt>
                <c:pt idx="11">
                  <c:v>Przemoc seksualna</c:v>
                </c:pt>
                <c:pt idx="12">
                  <c:v>Prawo do intymności</c:v>
                </c:pt>
                <c:pt idx="13">
                  <c:v>Wierność jako uniwers. wartość</c:v>
                </c:pt>
                <c:pt idx="14">
                  <c:v>Pornografia</c:v>
                </c:pt>
                <c:pt idx="15">
                  <c:v>Orientacje seks. i identyf. płciowa</c:v>
                </c:pt>
                <c:pt idx="16">
                  <c:v>Choroby weneryczne</c:v>
                </c:pt>
                <c:pt idx="17">
                  <c:v>Ryzykowne zachowania seksualne</c:v>
                </c:pt>
                <c:pt idx="18">
                  <c:v>Inicjacja seksualna</c:v>
                </c:pt>
                <c:pt idx="19">
                  <c:v>Wstrzemięźliwość seksualna</c:v>
                </c:pt>
                <c:pt idx="20">
                  <c:v>Popęd seksualny</c:v>
                </c:pt>
                <c:pt idx="21">
                  <c:v>Kwestie moralne w relacjach</c:v>
                </c:pt>
                <c:pt idx="22">
                  <c:v>Zbyt wczesne rodzicielstwo</c:v>
                </c:pt>
                <c:pt idx="23">
                  <c:v>Masturbacja</c:v>
                </c:pt>
                <c:pt idx="24">
                  <c:v>Antykoncepcja</c:v>
                </c:pt>
                <c:pt idx="25">
                  <c:v>Ciąża, poród, opieka</c:v>
                </c:pt>
                <c:pt idx="26">
                  <c:v>Przebieg stosunku</c:v>
                </c:pt>
                <c:pt idx="27">
                  <c:v>Zalecenia zdrowotne - ciąża</c:v>
                </c:pt>
                <c:pt idx="28">
                  <c:v>Życie seks. jako źródło satysfakcji</c:v>
                </c:pt>
                <c:pt idx="29">
                  <c:v>Aborcja w prawie polskim</c:v>
                </c:pt>
                <c:pt idx="30">
                  <c:v>Przebieg aborcji i jej skutki</c:v>
                </c:pt>
              </c:strCache>
            </c:strRef>
          </c:cat>
          <c:val>
            <c:numRef>
              <c:f>Arkusz1!$C$2:$C$32</c:f>
              <c:numCache>
                <c:formatCode>0%</c:formatCode>
                <c:ptCount val="31"/>
                <c:pt idx="0">
                  <c:v>6.7395853476194312E-2</c:v>
                </c:pt>
                <c:pt idx="1">
                  <c:v>0.17111279487772704</c:v>
                </c:pt>
                <c:pt idx="2">
                  <c:v>0.17242726802585159</c:v>
                </c:pt>
                <c:pt idx="3">
                  <c:v>0.25094655924115611</c:v>
                </c:pt>
                <c:pt idx="4">
                  <c:v>0.25775679595888046</c:v>
                </c:pt>
                <c:pt idx="5">
                  <c:v>0.27093608093283938</c:v>
                </c:pt>
                <c:pt idx="6">
                  <c:v>0.27659152501621426</c:v>
                </c:pt>
                <c:pt idx="7">
                  <c:v>0.27674476486479138</c:v>
                </c:pt>
                <c:pt idx="8">
                  <c:v>0.29936882103578316</c:v>
                </c:pt>
                <c:pt idx="9">
                  <c:v>0.4134492988436963</c:v>
                </c:pt>
                <c:pt idx="10">
                  <c:v>0.42001654981149888</c:v>
                </c:pt>
                <c:pt idx="11">
                  <c:v>0.44862711589984183</c:v>
                </c:pt>
                <c:pt idx="12">
                  <c:v>0.45861278929867327</c:v>
                </c:pt>
                <c:pt idx="13">
                  <c:v>0.47571585051680026</c:v>
                </c:pt>
                <c:pt idx="14">
                  <c:v>0.51394354481423743</c:v>
                </c:pt>
                <c:pt idx="15">
                  <c:v>0.52245327338324987</c:v>
                </c:pt>
                <c:pt idx="16">
                  <c:v>0.60006721080506098</c:v>
                </c:pt>
                <c:pt idx="17">
                  <c:v>0.62743829763556869</c:v>
                </c:pt>
                <c:pt idx="18">
                  <c:v>0.63874710431972792</c:v>
                </c:pt>
                <c:pt idx="19">
                  <c:v>0.63910019285799269</c:v>
                </c:pt>
                <c:pt idx="20">
                  <c:v>0.63922674617190001</c:v>
                </c:pt>
                <c:pt idx="21">
                  <c:v>0.65727535118518843</c:v>
                </c:pt>
                <c:pt idx="22">
                  <c:v>0.66747767495316712</c:v>
                </c:pt>
                <c:pt idx="23">
                  <c:v>0.68927229640096321</c:v>
                </c:pt>
                <c:pt idx="24">
                  <c:v>0.69591356873349453</c:v>
                </c:pt>
                <c:pt idx="25">
                  <c:v>0.71166983043710308</c:v>
                </c:pt>
                <c:pt idx="26">
                  <c:v>0.74113813128896533</c:v>
                </c:pt>
                <c:pt idx="27">
                  <c:v>0.7606065668494687</c:v>
                </c:pt>
                <c:pt idx="28">
                  <c:v>0.77190096348858883</c:v>
                </c:pt>
                <c:pt idx="29">
                  <c:v>0.77458900887791537</c:v>
                </c:pt>
                <c:pt idx="30">
                  <c:v>0.78744060790389325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W szkole ponadgimnazjalnej</c:v>
                </c:pt>
              </c:strCache>
            </c:strRef>
          </c:tx>
          <c:spPr>
            <a:ln w="38100">
              <a:solidFill>
                <a:srgbClr val="0070C0"/>
              </a:solidFill>
            </a:ln>
          </c:spPr>
          <c:marker>
            <c:symbol val="none"/>
          </c:marker>
          <c:cat>
            <c:strRef>
              <c:f>Arkusz1!$A$2:$A$32</c:f>
              <c:strCache>
                <c:ptCount val="31"/>
                <c:pt idx="0">
                  <c:v>Higiena narządów płciowych</c:v>
                </c:pt>
                <c:pt idx="1">
                  <c:v>Budowa narządów płciowych</c:v>
                </c:pt>
                <c:pt idx="2">
                  <c:v>Zmiany organizmu okr. dojrzewania</c:v>
                </c:pt>
                <c:pt idx="3">
                  <c:v>Wartości rodzinne</c:v>
                </c:pt>
                <c:pt idx="4">
                  <c:v>Zmiany psychiczne okr. dojrzewania</c:v>
                </c:pt>
                <c:pt idx="5">
                  <c:v>Prawo do wzajemnego szacunku</c:v>
                </c:pt>
                <c:pt idx="6">
                  <c:v>Zmiany emocjonalne okr. dojrzewania</c:v>
                </c:pt>
                <c:pt idx="7">
                  <c:v>Wzajemne zaufanie</c:v>
                </c:pt>
                <c:pt idx="8">
                  <c:v>Emocje</c:v>
                </c:pt>
                <c:pt idx="9">
                  <c:v>Miłość jako podst. małżeństwa</c:v>
                </c:pt>
                <c:pt idx="10">
                  <c:v>Fazy płodności i niepłodności</c:v>
                </c:pt>
                <c:pt idx="11">
                  <c:v>Przemoc seksualna</c:v>
                </c:pt>
                <c:pt idx="12">
                  <c:v>Prawo do intymności</c:v>
                </c:pt>
                <c:pt idx="13">
                  <c:v>Wierność jako uniwers. wartość</c:v>
                </c:pt>
                <c:pt idx="14">
                  <c:v>Pornografia</c:v>
                </c:pt>
                <c:pt idx="15">
                  <c:v>Orientacje seks. i identyf. płciowa</c:v>
                </c:pt>
                <c:pt idx="16">
                  <c:v>Choroby weneryczne</c:v>
                </c:pt>
                <c:pt idx="17">
                  <c:v>Ryzykowne zachowania seksualne</c:v>
                </c:pt>
                <c:pt idx="18">
                  <c:v>Inicjacja seksualna</c:v>
                </c:pt>
                <c:pt idx="19">
                  <c:v>Wstrzemięźliwość seksualna</c:v>
                </c:pt>
                <c:pt idx="20">
                  <c:v>Popęd seksualny</c:v>
                </c:pt>
                <c:pt idx="21">
                  <c:v>Kwestie moralne w relacjach</c:v>
                </c:pt>
                <c:pt idx="22">
                  <c:v>Zbyt wczesne rodzicielstwo</c:v>
                </c:pt>
                <c:pt idx="23">
                  <c:v>Masturbacja</c:v>
                </c:pt>
                <c:pt idx="24">
                  <c:v>Antykoncepcja</c:v>
                </c:pt>
                <c:pt idx="25">
                  <c:v>Ciąża, poród, opieka</c:v>
                </c:pt>
                <c:pt idx="26">
                  <c:v>Przebieg stosunku</c:v>
                </c:pt>
                <c:pt idx="27">
                  <c:v>Zalecenia zdrowotne - ciąża</c:v>
                </c:pt>
                <c:pt idx="28">
                  <c:v>Życie seks. jako źródło satysfakcji</c:v>
                </c:pt>
                <c:pt idx="29">
                  <c:v>Aborcja w prawie polskim</c:v>
                </c:pt>
                <c:pt idx="30">
                  <c:v>Przebieg aborcji i jej skutki</c:v>
                </c:pt>
              </c:strCache>
            </c:strRef>
          </c:cat>
          <c:val>
            <c:numRef>
              <c:f>Arkusz1!$D$2:$D$32</c:f>
              <c:numCache>
                <c:formatCode>0%</c:formatCode>
                <c:ptCount val="31"/>
                <c:pt idx="0">
                  <c:v>1.0341665794315917E-2</c:v>
                </c:pt>
                <c:pt idx="1">
                  <c:v>2.4215684130777397E-2</c:v>
                </c:pt>
                <c:pt idx="2">
                  <c:v>2.0442609358927676E-2</c:v>
                </c:pt>
                <c:pt idx="3">
                  <c:v>3.9165691987713212E-2</c:v>
                </c:pt>
                <c:pt idx="4">
                  <c:v>2.3348605128970811E-2</c:v>
                </c:pt>
                <c:pt idx="5">
                  <c:v>3.735677367998308E-2</c:v>
                </c:pt>
                <c:pt idx="6">
                  <c:v>2.2788364895732709E-2</c:v>
                </c:pt>
                <c:pt idx="7">
                  <c:v>3.8545711866447091E-2</c:v>
                </c:pt>
                <c:pt idx="8">
                  <c:v>3.844078287705352E-2</c:v>
                </c:pt>
                <c:pt idx="9">
                  <c:v>0.10452836796576345</c:v>
                </c:pt>
                <c:pt idx="10">
                  <c:v>5.0461286672392185E-2</c:v>
                </c:pt>
                <c:pt idx="11">
                  <c:v>8.0468310965731996E-2</c:v>
                </c:pt>
                <c:pt idx="12">
                  <c:v>8.2834465808045765E-2</c:v>
                </c:pt>
                <c:pt idx="13">
                  <c:v>9.1939215380200098E-2</c:v>
                </c:pt>
                <c:pt idx="14">
                  <c:v>9.0083881046998479E-2</c:v>
                </c:pt>
                <c:pt idx="15">
                  <c:v>9.5636916458935003E-2</c:v>
                </c:pt>
                <c:pt idx="16">
                  <c:v>8.171397561557843E-2</c:v>
                </c:pt>
                <c:pt idx="17">
                  <c:v>0.11438825687826891</c:v>
                </c:pt>
                <c:pt idx="18">
                  <c:v>0.10217767028017782</c:v>
                </c:pt>
                <c:pt idx="19">
                  <c:v>0.11147169946338019</c:v>
                </c:pt>
                <c:pt idx="20">
                  <c:v>0.12103474997804649</c:v>
                </c:pt>
                <c:pt idx="21">
                  <c:v>0.12494596407929209</c:v>
                </c:pt>
                <c:pt idx="22">
                  <c:v>8.9055205952351835E-2</c:v>
                </c:pt>
                <c:pt idx="23">
                  <c:v>0.18546571980463594</c:v>
                </c:pt>
                <c:pt idx="24">
                  <c:v>0.12414955010306976</c:v>
                </c:pt>
                <c:pt idx="25">
                  <c:v>0.21003124339156926</c:v>
                </c:pt>
                <c:pt idx="26">
                  <c:v>0.2109826159658289</c:v>
                </c:pt>
                <c:pt idx="27">
                  <c:v>0.26230297268685115</c:v>
                </c:pt>
                <c:pt idx="28">
                  <c:v>0.26809455239673474</c:v>
                </c:pt>
                <c:pt idx="29">
                  <c:v>0.2571330505228952</c:v>
                </c:pt>
                <c:pt idx="30">
                  <c:v>0.26489369197729967</c:v>
                </c:pt>
              </c:numCache>
            </c:numRef>
          </c:val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W ogóle nie powinien być poruszany</c:v>
                </c:pt>
              </c:strCache>
            </c:strRef>
          </c:tx>
          <c:spPr>
            <a:ln w="38100">
              <a:solidFill>
                <a:schemeClr val="tx1"/>
              </a:solidFill>
            </a:ln>
          </c:spPr>
          <c:marker>
            <c:symbol val="none"/>
          </c:marker>
          <c:cat>
            <c:strRef>
              <c:f>Arkusz1!$A$2:$A$32</c:f>
              <c:strCache>
                <c:ptCount val="31"/>
                <c:pt idx="0">
                  <c:v>Higiena narządów płciowych</c:v>
                </c:pt>
                <c:pt idx="1">
                  <c:v>Budowa narządów płciowych</c:v>
                </c:pt>
                <c:pt idx="2">
                  <c:v>Zmiany organizmu okr. dojrzewania</c:v>
                </c:pt>
                <c:pt idx="3">
                  <c:v>Wartości rodzinne</c:v>
                </c:pt>
                <c:pt idx="4">
                  <c:v>Zmiany psychiczne okr. dojrzewania</c:v>
                </c:pt>
                <c:pt idx="5">
                  <c:v>Prawo do wzajemnego szacunku</c:v>
                </c:pt>
                <c:pt idx="6">
                  <c:v>Zmiany emocjonalne okr. dojrzewania</c:v>
                </c:pt>
                <c:pt idx="7">
                  <c:v>Wzajemne zaufanie</c:v>
                </c:pt>
                <c:pt idx="8">
                  <c:v>Emocje</c:v>
                </c:pt>
                <c:pt idx="9">
                  <c:v>Miłość jako podst. małżeństwa</c:v>
                </c:pt>
                <c:pt idx="10">
                  <c:v>Fazy płodności i niepłodności</c:v>
                </c:pt>
                <c:pt idx="11">
                  <c:v>Przemoc seksualna</c:v>
                </c:pt>
                <c:pt idx="12">
                  <c:v>Prawo do intymności</c:v>
                </c:pt>
                <c:pt idx="13">
                  <c:v>Wierność jako uniwers. wartość</c:v>
                </c:pt>
                <c:pt idx="14">
                  <c:v>Pornografia</c:v>
                </c:pt>
                <c:pt idx="15">
                  <c:v>Orientacje seks. i identyf. płciowa</c:v>
                </c:pt>
                <c:pt idx="16">
                  <c:v>Choroby weneryczne</c:v>
                </c:pt>
                <c:pt idx="17">
                  <c:v>Ryzykowne zachowania seksualne</c:v>
                </c:pt>
                <c:pt idx="18">
                  <c:v>Inicjacja seksualna</c:v>
                </c:pt>
                <c:pt idx="19">
                  <c:v>Wstrzemięźliwość seksualna</c:v>
                </c:pt>
                <c:pt idx="20">
                  <c:v>Popęd seksualny</c:v>
                </c:pt>
                <c:pt idx="21">
                  <c:v>Kwestie moralne w relacjach</c:v>
                </c:pt>
                <c:pt idx="22">
                  <c:v>Zbyt wczesne rodzicielstwo</c:v>
                </c:pt>
                <c:pt idx="23">
                  <c:v>Masturbacja</c:v>
                </c:pt>
                <c:pt idx="24">
                  <c:v>Antykoncepcja</c:v>
                </c:pt>
                <c:pt idx="25">
                  <c:v>Ciąża, poród, opieka</c:v>
                </c:pt>
                <c:pt idx="26">
                  <c:v>Przebieg stosunku</c:v>
                </c:pt>
                <c:pt idx="27">
                  <c:v>Zalecenia zdrowotne - ciąża</c:v>
                </c:pt>
                <c:pt idx="28">
                  <c:v>Życie seks. jako źródło satysfakcji</c:v>
                </c:pt>
                <c:pt idx="29">
                  <c:v>Aborcja w prawie polskim</c:v>
                </c:pt>
                <c:pt idx="30">
                  <c:v>Przebieg aborcji i jej skutki</c:v>
                </c:pt>
              </c:strCache>
            </c:strRef>
          </c:cat>
          <c:val>
            <c:numRef>
              <c:f>Arkusz1!$E$2:$E$32</c:f>
              <c:numCache>
                <c:formatCode>0%</c:formatCode>
                <c:ptCount val="31"/>
                <c:pt idx="0">
                  <c:v>1.5217174722755827E-2</c:v>
                </c:pt>
                <c:pt idx="1">
                  <c:v>2.5256288207737673E-2</c:v>
                </c:pt>
                <c:pt idx="2">
                  <c:v>1.1858942787310679E-2</c:v>
                </c:pt>
                <c:pt idx="3">
                  <c:v>6.5780943674454452E-3</c:v>
                </c:pt>
                <c:pt idx="4">
                  <c:v>8.2386847782511628E-3</c:v>
                </c:pt>
                <c:pt idx="5">
                  <c:v>6.9389265381956181E-3</c:v>
                </c:pt>
                <c:pt idx="6">
                  <c:v>8.3300557400275907E-3</c:v>
                </c:pt>
                <c:pt idx="7">
                  <c:v>5.5569949343297004E-3</c:v>
                </c:pt>
                <c:pt idx="8">
                  <c:v>7.220262118164361E-3</c:v>
                </c:pt>
                <c:pt idx="9">
                  <c:v>8.9310464705895064E-3</c:v>
                </c:pt>
                <c:pt idx="10">
                  <c:v>9.5478135938075522E-3</c:v>
                </c:pt>
                <c:pt idx="11">
                  <c:v>1.3866267727056529E-2</c:v>
                </c:pt>
                <c:pt idx="12">
                  <c:v>1.4050588843083583E-2</c:v>
                </c:pt>
                <c:pt idx="13">
                  <c:v>8.1257201445978002E-3</c:v>
                </c:pt>
                <c:pt idx="14">
                  <c:v>2.7552416606597584E-2</c:v>
                </c:pt>
                <c:pt idx="15">
                  <c:v>2.7330606677810693E-2</c:v>
                </c:pt>
                <c:pt idx="16">
                  <c:v>7.5753226546857403E-3</c:v>
                </c:pt>
                <c:pt idx="17">
                  <c:v>1.7199769011823667E-2</c:v>
                </c:pt>
                <c:pt idx="18">
                  <c:v>2.118154943692024E-2</c:v>
                </c:pt>
                <c:pt idx="19">
                  <c:v>3.027633910315471E-2</c:v>
                </c:pt>
                <c:pt idx="20">
                  <c:v>1.9360288305359061E-2</c:v>
                </c:pt>
                <c:pt idx="21">
                  <c:v>1.3484480500345501E-2</c:v>
                </c:pt>
                <c:pt idx="22">
                  <c:v>1.0787181542588054E-2</c:v>
                </c:pt>
                <c:pt idx="23">
                  <c:v>6.2601000301706414E-2</c:v>
                </c:pt>
                <c:pt idx="24">
                  <c:v>2.1964270798668098E-2</c:v>
                </c:pt>
                <c:pt idx="25">
                  <c:v>1.7626685128322446E-2</c:v>
                </c:pt>
                <c:pt idx="26">
                  <c:v>5.0326317458785942E-2</c:v>
                </c:pt>
                <c:pt idx="27">
                  <c:v>2.6432492840253455E-2</c:v>
                </c:pt>
                <c:pt idx="28">
                  <c:v>4.9454513684636874E-2</c:v>
                </c:pt>
                <c:pt idx="29">
                  <c:v>4.8152257141934468E-2</c:v>
                </c:pt>
                <c:pt idx="30">
                  <c:v>3.8846125326767802E-2</c:v>
                </c:pt>
              </c:numCache>
            </c:numRef>
          </c:val>
        </c:ser>
        <c:marker val="1"/>
        <c:axId val="36630912"/>
        <c:axId val="36632448"/>
      </c:lineChart>
      <c:catAx>
        <c:axId val="3663091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000"/>
            </a:pPr>
            <a:endParaRPr lang="pl-PL"/>
          </a:p>
        </c:txPr>
        <c:crossAx val="36632448"/>
        <c:crosses val="autoZero"/>
        <c:auto val="1"/>
        <c:lblAlgn val="ctr"/>
        <c:lblOffset val="100"/>
      </c:catAx>
      <c:valAx>
        <c:axId val="36632448"/>
        <c:scaling>
          <c:orientation val="minMax"/>
          <c:max val="1"/>
          <c:min val="0"/>
        </c:scaling>
        <c:axPos val="l"/>
        <c:majorGridlines/>
        <c:numFmt formatCode="0%" sourceLinked="1"/>
        <c:tickLblPos val="nextTo"/>
        <c:crossAx val="36630912"/>
        <c:crosses val="autoZero"/>
        <c:crossBetween val="between"/>
        <c:majorUnit val="0.1"/>
        <c:minorUnit val="5.0000000000000114E-2"/>
      </c:valAx>
    </c:plotArea>
    <c:legend>
      <c:legendPos val="r"/>
      <c:layout>
        <c:manualLayout>
          <c:xMode val="edge"/>
          <c:yMode val="edge"/>
          <c:x val="0.13178982299960612"/>
          <c:y val="1.754790778232624E-3"/>
          <c:w val="0.84833775128483968"/>
          <c:h val="0.17156946769427692"/>
        </c:manualLayout>
      </c:layout>
      <c:txPr>
        <a:bodyPr/>
        <a:lstStyle/>
        <a:p>
          <a:pPr>
            <a:defRPr sz="1000"/>
          </a:pPr>
          <a:endParaRPr lang="pl-PL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200"/>
      </a:pPr>
      <a:endParaRPr lang="pl-PL"/>
    </a:p>
  </c:tx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8A701-FF24-4179-9D7E-26C7C377E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1821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12725</CharactersWithSpaces>
  <SharedDoc>false</SharedDoc>
  <HLinks>
    <vt:vector size="36" baseType="variant">
      <vt:variant>
        <vt:i4>720935</vt:i4>
      </vt:variant>
      <vt:variant>
        <vt:i4>15</vt:i4>
      </vt:variant>
      <vt:variant>
        <vt:i4>0</vt:i4>
      </vt:variant>
      <vt:variant>
        <vt:i4>5</vt:i4>
      </vt:variant>
      <vt:variant>
        <vt:lpwstr>mailto:janda@mcconsultants.pl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http://www.eduentuzjasci.pl/</vt:lpwstr>
      </vt:variant>
      <vt:variant>
        <vt:lpwstr/>
      </vt:variant>
      <vt:variant>
        <vt:i4>6815802</vt:i4>
      </vt:variant>
      <vt:variant>
        <vt:i4>9</vt:i4>
      </vt:variant>
      <vt:variant>
        <vt:i4>0</vt:i4>
      </vt:variant>
      <vt:variant>
        <vt:i4>5</vt:i4>
      </vt:variant>
      <vt:variant>
        <vt:lpwstr>http://www.ibe.edu.pl/</vt:lpwstr>
      </vt:variant>
      <vt:variant>
        <vt:lpwstr/>
      </vt:variant>
      <vt:variant>
        <vt:i4>7405673</vt:i4>
      </vt:variant>
      <vt:variant>
        <vt:i4>6</vt:i4>
      </vt:variant>
      <vt:variant>
        <vt:i4>0</vt:i4>
      </vt:variant>
      <vt:variant>
        <vt:i4>5</vt:i4>
      </vt:variant>
      <vt:variant>
        <vt:lpwstr>http://eduentuzjasci.pl/publikacje/dpnp</vt:lpwstr>
      </vt:variant>
      <vt:variant>
        <vt:lpwstr/>
      </vt:variant>
      <vt:variant>
        <vt:i4>3080231</vt:i4>
      </vt:variant>
      <vt:variant>
        <vt:i4>3</vt:i4>
      </vt:variant>
      <vt:variant>
        <vt:i4>0</vt:i4>
      </vt:variant>
      <vt:variant>
        <vt:i4>5</vt:i4>
      </vt:variant>
      <vt:variant>
        <vt:lpwstr>http://eduentuzjasci.pl/images/stories/publikacje/ibe-rekomendacje-ppp-ponadgimnazjalne.pdf</vt:lpwstr>
      </vt:variant>
      <vt:variant>
        <vt:lpwstr/>
      </vt:variant>
      <vt:variant>
        <vt:i4>2490429</vt:i4>
      </vt:variant>
      <vt:variant>
        <vt:i4>0</vt:i4>
      </vt:variant>
      <vt:variant>
        <vt:i4>0</vt:i4>
      </vt:variant>
      <vt:variant>
        <vt:i4>5</vt:i4>
      </vt:variant>
      <vt:variant>
        <vt:lpwstr>http://eduentuzjasci.pl/images/stories/publikacje/ibe-rekomendacje-ppp-gimnazja.pdf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prasowe</dc:creator>
  <cp:lastModifiedBy>Małgorzata Chrobak</cp:lastModifiedBy>
  <cp:revision>3</cp:revision>
  <cp:lastPrinted>2014-01-10T11:16:00Z</cp:lastPrinted>
  <dcterms:created xsi:type="dcterms:W3CDTF">2015-07-09T08:48:00Z</dcterms:created>
  <dcterms:modified xsi:type="dcterms:W3CDTF">2015-07-09T09:18:00Z</dcterms:modified>
</cp:coreProperties>
</file>