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07" w:rsidRDefault="00F97C07" w:rsidP="008300E2">
      <w:pPr>
        <w:spacing w:before="240" w:afterLines="80" w:after="192" w:line="276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:rsidR="00F64E84" w:rsidRPr="00877AB6" w:rsidRDefault="00DE73A1" w:rsidP="008300E2">
      <w:pPr>
        <w:spacing w:before="240" w:afterLines="80" w:after="192"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Warszawa</w:t>
      </w:r>
      <w:r w:rsidR="00F64E84" w:rsidRPr="00877AB6">
        <w:rPr>
          <w:rFonts w:ascii="Arial" w:hAnsi="Arial" w:cs="Arial"/>
          <w:sz w:val="22"/>
          <w:szCs w:val="22"/>
          <w:lang w:val="pl-PL"/>
        </w:rPr>
        <w:t xml:space="preserve">, </w:t>
      </w:r>
      <w:r w:rsidR="0083318F">
        <w:rPr>
          <w:rFonts w:ascii="Arial" w:hAnsi="Arial" w:cs="Arial"/>
          <w:sz w:val="22"/>
          <w:szCs w:val="22"/>
          <w:lang w:val="pl-PL"/>
        </w:rPr>
        <w:t xml:space="preserve">10 </w:t>
      </w:r>
      <w:r w:rsidR="00AB4798">
        <w:rPr>
          <w:rFonts w:ascii="Arial" w:hAnsi="Arial" w:cs="Arial"/>
          <w:sz w:val="22"/>
          <w:szCs w:val="22"/>
          <w:lang w:val="pl-PL"/>
        </w:rPr>
        <w:t>lut</w:t>
      </w:r>
      <w:r w:rsidR="001C05BD">
        <w:rPr>
          <w:rFonts w:ascii="Arial" w:hAnsi="Arial" w:cs="Arial"/>
          <w:sz w:val="22"/>
          <w:szCs w:val="22"/>
          <w:lang w:val="pl-PL"/>
        </w:rPr>
        <w:t>ego</w:t>
      </w:r>
      <w:r w:rsidR="00975D36">
        <w:rPr>
          <w:rFonts w:ascii="Arial" w:hAnsi="Arial" w:cs="Arial"/>
          <w:sz w:val="22"/>
          <w:szCs w:val="22"/>
          <w:lang w:val="pl-PL"/>
        </w:rPr>
        <w:t xml:space="preserve"> 201</w:t>
      </w:r>
      <w:r w:rsidR="006335E5">
        <w:rPr>
          <w:rFonts w:ascii="Arial" w:hAnsi="Arial" w:cs="Arial"/>
          <w:sz w:val="22"/>
          <w:szCs w:val="22"/>
          <w:lang w:val="pl-PL"/>
        </w:rPr>
        <w:t>4</w:t>
      </w:r>
      <w:r w:rsidR="00F64E84" w:rsidRPr="00877AB6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AE24F2" w:rsidRDefault="00AE24F2" w:rsidP="00DD02A2">
      <w:pPr>
        <w:jc w:val="both"/>
        <w:rPr>
          <w:rFonts w:ascii="Arial" w:hAnsi="Arial" w:cs="Arial"/>
          <w:b/>
          <w:sz w:val="22"/>
          <w:szCs w:val="22"/>
        </w:rPr>
      </w:pPr>
    </w:p>
    <w:p w:rsidR="00AE24F2" w:rsidRDefault="00AE24F2" w:rsidP="00DD02A2">
      <w:pPr>
        <w:jc w:val="both"/>
        <w:rPr>
          <w:rFonts w:ascii="Arial" w:hAnsi="Arial" w:cs="Arial"/>
          <w:b/>
          <w:sz w:val="22"/>
          <w:szCs w:val="22"/>
        </w:rPr>
      </w:pPr>
    </w:p>
    <w:p w:rsidR="00DD02A2" w:rsidRPr="00DD02A2" w:rsidRDefault="00DD02A2" w:rsidP="00DD02A2">
      <w:pPr>
        <w:jc w:val="both"/>
        <w:rPr>
          <w:rFonts w:ascii="Arial" w:hAnsi="Arial" w:cs="Arial"/>
          <w:b/>
          <w:sz w:val="22"/>
          <w:szCs w:val="22"/>
        </w:rPr>
      </w:pPr>
      <w:r w:rsidRPr="00DD02A2">
        <w:rPr>
          <w:rFonts w:ascii="Arial" w:hAnsi="Arial" w:cs="Arial"/>
          <w:b/>
          <w:sz w:val="22"/>
          <w:szCs w:val="22"/>
        </w:rPr>
        <w:t>Szkoła samodzielnego myślenia</w:t>
      </w:r>
    </w:p>
    <w:p w:rsidR="00F64E84" w:rsidRPr="00DD02A2" w:rsidRDefault="00F64E84" w:rsidP="008300E2">
      <w:pPr>
        <w:pStyle w:val="informacjaprasowa"/>
        <w:spacing w:before="240" w:afterLines="80" w:after="192" w:line="276" w:lineRule="auto"/>
        <w:rPr>
          <w:sz w:val="22"/>
          <w:szCs w:val="22"/>
        </w:rPr>
      </w:pPr>
      <w:r w:rsidRPr="00DD02A2">
        <w:rPr>
          <w:sz w:val="22"/>
          <w:szCs w:val="22"/>
        </w:rPr>
        <w:t>Informacja prasowa</w:t>
      </w:r>
    </w:p>
    <w:p w:rsidR="00DD02A2" w:rsidRPr="00DD02A2" w:rsidRDefault="00DD02A2" w:rsidP="00DD02A2">
      <w:pPr>
        <w:jc w:val="both"/>
        <w:rPr>
          <w:rFonts w:ascii="Arial" w:hAnsi="Arial" w:cs="Arial"/>
          <w:b/>
          <w:sz w:val="22"/>
          <w:szCs w:val="22"/>
        </w:rPr>
      </w:pPr>
      <w:r w:rsidRPr="00DD02A2">
        <w:rPr>
          <w:rFonts w:ascii="Arial" w:hAnsi="Arial" w:cs="Arial"/>
          <w:b/>
          <w:sz w:val="22"/>
          <w:szCs w:val="22"/>
        </w:rPr>
        <w:t>Co ma wspólnego interpretacja wiersza na lekcji języka polskiego z umiejętnościami wykorzystywanymi w pracy przez ekonomistów czy lekarzy? Na którym poziomie nauczania uczniowie rozwijają najszybciej umiejętność samodzielnego myślenia? W jakich typach szkół najłatwiej znaleźć miłośników matematyki? Tego i innych danych o umiejętnościach złożonych uczniów dowiedzieć się można z raportu dydaktyków z Instytutu Badań Edukacyjnych przygotowanego na podstawie badania „Szkoła samodzielnego myślenia”</w:t>
      </w:r>
    </w:p>
    <w:p w:rsidR="00DD02A2" w:rsidRDefault="00DD02A2" w:rsidP="00DD02A2">
      <w:pPr>
        <w:jc w:val="both"/>
        <w:rPr>
          <w:rFonts w:ascii="Arial" w:hAnsi="Arial" w:cs="Arial"/>
          <w:sz w:val="22"/>
          <w:szCs w:val="22"/>
        </w:rPr>
      </w:pPr>
    </w:p>
    <w:p w:rsidR="00DD02A2" w:rsidRPr="00DD02A2" w:rsidRDefault="00DD02A2" w:rsidP="00DD02A2">
      <w:pPr>
        <w:jc w:val="both"/>
        <w:rPr>
          <w:rFonts w:ascii="Arial" w:hAnsi="Arial" w:cs="Arial"/>
          <w:sz w:val="22"/>
          <w:szCs w:val="22"/>
        </w:rPr>
      </w:pPr>
      <w:r w:rsidRPr="00DD02A2">
        <w:rPr>
          <w:rFonts w:ascii="Arial" w:hAnsi="Arial" w:cs="Arial"/>
          <w:sz w:val="22"/>
          <w:szCs w:val="22"/>
        </w:rPr>
        <w:t xml:space="preserve">Badaniem objęto ok. 10 tys. uczniów z 350 wylosowanych szkół z całej Polski. Jego głównym celem była ocena uczniów w zakresie umiejętności złożonych z języka polskiego i matematyki, podkreślanych w podstawie programowej Badanie dotyczyło tylko wybranych umiejętności zdobywanych w trakcie szkolnej edukacji. Jego istotą było sprawdzenie, w jakim stopniu uczniowie opanowują i rozwijają sprawność samodzielnego rozwiązywania problemów, jak sobie radzą ze zrozumieniem treści przekazu, jak poszukują dróg rozwiązania problemu, jak sami formułują wypowiedź, jak argumentują i uzasadniają swoje stanowisko. </w:t>
      </w:r>
    </w:p>
    <w:p w:rsidR="00AE24F2" w:rsidRDefault="00AE24F2" w:rsidP="00DD02A2">
      <w:pPr>
        <w:jc w:val="both"/>
        <w:rPr>
          <w:rFonts w:ascii="Arial" w:hAnsi="Arial" w:cs="Arial"/>
          <w:sz w:val="22"/>
          <w:szCs w:val="22"/>
        </w:rPr>
      </w:pPr>
    </w:p>
    <w:p w:rsidR="00DD02A2" w:rsidRPr="00DD02A2" w:rsidRDefault="00DD02A2" w:rsidP="00DD02A2">
      <w:pPr>
        <w:jc w:val="both"/>
        <w:rPr>
          <w:rFonts w:ascii="Arial" w:hAnsi="Arial" w:cs="Arial"/>
          <w:sz w:val="22"/>
          <w:szCs w:val="22"/>
        </w:rPr>
      </w:pPr>
      <w:r w:rsidRPr="00DD02A2">
        <w:rPr>
          <w:rFonts w:ascii="Arial" w:hAnsi="Arial" w:cs="Arial"/>
          <w:sz w:val="22"/>
          <w:szCs w:val="22"/>
        </w:rPr>
        <w:t>Badanie</w:t>
      </w:r>
      <w:r w:rsidR="009C0B14">
        <w:rPr>
          <w:rFonts w:ascii="Arial" w:hAnsi="Arial" w:cs="Arial"/>
          <w:sz w:val="22"/>
          <w:szCs w:val="22"/>
        </w:rPr>
        <w:t xml:space="preserve"> </w:t>
      </w:r>
      <w:r w:rsidR="009C2897">
        <w:rPr>
          <w:rFonts w:ascii="Arial" w:hAnsi="Arial" w:cs="Arial"/>
          <w:sz w:val="22"/>
          <w:szCs w:val="22"/>
        </w:rPr>
        <w:t>pr</w:t>
      </w:r>
      <w:r w:rsidR="009A33EC">
        <w:rPr>
          <w:rFonts w:ascii="Arial" w:hAnsi="Arial" w:cs="Arial"/>
          <w:sz w:val="22"/>
          <w:szCs w:val="22"/>
        </w:rPr>
        <w:t>z</w:t>
      </w:r>
      <w:r w:rsidR="009C2897">
        <w:rPr>
          <w:rFonts w:ascii="Arial" w:hAnsi="Arial" w:cs="Arial"/>
          <w:sz w:val="22"/>
          <w:szCs w:val="22"/>
        </w:rPr>
        <w:t>eprowadzono</w:t>
      </w:r>
      <w:r w:rsidRPr="00DD02A2">
        <w:rPr>
          <w:rFonts w:ascii="Arial" w:hAnsi="Arial" w:cs="Arial"/>
          <w:sz w:val="22"/>
          <w:szCs w:val="22"/>
        </w:rPr>
        <w:t xml:space="preserve"> w grudniu 2011 r., </w:t>
      </w:r>
      <w:r w:rsidR="009C2897">
        <w:rPr>
          <w:rFonts w:ascii="Arial" w:hAnsi="Arial" w:cs="Arial"/>
          <w:sz w:val="22"/>
          <w:szCs w:val="22"/>
        </w:rPr>
        <w:t>wśród</w:t>
      </w:r>
      <w:r w:rsidRPr="00DD02A2">
        <w:rPr>
          <w:rFonts w:ascii="Arial" w:hAnsi="Arial" w:cs="Arial"/>
          <w:sz w:val="22"/>
          <w:szCs w:val="22"/>
        </w:rPr>
        <w:t xml:space="preserve"> uczniów trzech etapów edukacyjnych (klasa IV szkoły podstawowej, klasa I gimnazjum oraz pierwsza i ostatnia klasa szkół ponadgimnazjalnych). </w:t>
      </w:r>
      <w:r w:rsidR="00735EFF">
        <w:rPr>
          <w:rFonts w:ascii="Arial" w:hAnsi="Arial" w:cs="Arial"/>
          <w:sz w:val="22"/>
          <w:szCs w:val="22"/>
        </w:rPr>
        <w:t xml:space="preserve">Uczniowie uczestniczący w badaniu uczyli się według tzw. starej podstawy programowej. </w:t>
      </w:r>
      <w:r w:rsidRPr="00DD02A2">
        <w:rPr>
          <w:rFonts w:ascii="Arial" w:hAnsi="Arial" w:cs="Arial"/>
          <w:sz w:val="22"/>
          <w:szCs w:val="22"/>
        </w:rPr>
        <w:t>Wprawdzie uczniowie klasy I gimnazjum rozpoczęli naukę w gimnazjum według nowej podstawy, to badanie przeprowadzano zaledwie w trzecim miesiącu ich nauki.</w:t>
      </w:r>
    </w:p>
    <w:p w:rsidR="00AE24F2" w:rsidRDefault="00AE24F2" w:rsidP="00DD02A2">
      <w:pPr>
        <w:jc w:val="both"/>
        <w:rPr>
          <w:rFonts w:ascii="Arial" w:hAnsi="Arial" w:cs="Arial"/>
          <w:sz w:val="22"/>
          <w:szCs w:val="22"/>
        </w:rPr>
      </w:pPr>
    </w:p>
    <w:p w:rsidR="00DD02A2" w:rsidRPr="00DD02A2" w:rsidRDefault="00DD02A2" w:rsidP="00DD02A2">
      <w:pPr>
        <w:jc w:val="both"/>
        <w:rPr>
          <w:rFonts w:ascii="Arial" w:hAnsi="Arial" w:cs="Arial"/>
          <w:sz w:val="22"/>
          <w:szCs w:val="22"/>
        </w:rPr>
      </w:pPr>
      <w:r w:rsidRPr="00DD02A2">
        <w:rPr>
          <w:rFonts w:ascii="Arial" w:hAnsi="Arial" w:cs="Arial"/>
          <w:sz w:val="22"/>
          <w:szCs w:val="22"/>
        </w:rPr>
        <w:t>W raporcie zaprezentowano zarówno wyniki testów z języka polskiego i matematyki, jak i wyniki badań kontekstowych, charakteryzujących środowisko szkolne i domowe uczniów, ich drogę edukacyjną oraz postawy związane z uczeniem się języka polskiego i matematyki.</w:t>
      </w:r>
    </w:p>
    <w:p w:rsidR="00DD02A2" w:rsidRPr="00DD02A2" w:rsidRDefault="00DD02A2" w:rsidP="00DD02A2">
      <w:pPr>
        <w:jc w:val="both"/>
        <w:rPr>
          <w:rFonts w:ascii="Arial" w:hAnsi="Arial" w:cs="Arial"/>
          <w:sz w:val="22"/>
          <w:szCs w:val="22"/>
        </w:rPr>
      </w:pPr>
    </w:p>
    <w:p w:rsidR="00DD02A2" w:rsidRPr="00DD02A2" w:rsidRDefault="00DD02A2" w:rsidP="00DD02A2">
      <w:pPr>
        <w:jc w:val="both"/>
        <w:rPr>
          <w:rFonts w:ascii="Arial" w:hAnsi="Arial" w:cs="Arial"/>
          <w:b/>
          <w:sz w:val="22"/>
          <w:szCs w:val="22"/>
        </w:rPr>
      </w:pPr>
      <w:r w:rsidRPr="00DD02A2">
        <w:rPr>
          <w:rFonts w:ascii="Arial" w:hAnsi="Arial" w:cs="Arial"/>
          <w:b/>
          <w:sz w:val="22"/>
          <w:szCs w:val="22"/>
        </w:rPr>
        <w:t>Cele badania</w:t>
      </w:r>
    </w:p>
    <w:p w:rsidR="00AE24F2" w:rsidRDefault="00AE24F2" w:rsidP="00DD02A2">
      <w:pPr>
        <w:jc w:val="both"/>
        <w:rPr>
          <w:rFonts w:ascii="Arial" w:hAnsi="Arial" w:cs="Arial"/>
          <w:sz w:val="22"/>
          <w:szCs w:val="22"/>
        </w:rPr>
      </w:pPr>
    </w:p>
    <w:p w:rsidR="00DD02A2" w:rsidRPr="00DD02A2" w:rsidRDefault="00DD02A2" w:rsidP="00DD02A2">
      <w:pPr>
        <w:jc w:val="both"/>
        <w:rPr>
          <w:rFonts w:ascii="Arial" w:hAnsi="Arial" w:cs="Arial"/>
          <w:sz w:val="22"/>
          <w:szCs w:val="22"/>
        </w:rPr>
      </w:pPr>
      <w:r w:rsidRPr="00DD02A2">
        <w:rPr>
          <w:rFonts w:ascii="Arial" w:hAnsi="Arial" w:cs="Arial"/>
          <w:sz w:val="22"/>
          <w:szCs w:val="22"/>
        </w:rPr>
        <w:t>Nowa podstawa programowa opisuje konkretne efekty uczenia, które powinni osiągnąć uczniowie na zakończenie kolejnych etapów edukacyjnych. Oprócz wymagań szczegółowych, podstawa kładzie nacisk na rozwijanie przez uczniów umiejętności złożonych, określonych w wymaganiach ogólnych. W kontaktach z innymi ludźmi i w trakcie rozwiązywania problemów dnia codziennego nieodzowne są takie umiejętności jak:</w:t>
      </w:r>
    </w:p>
    <w:p w:rsidR="00DD02A2" w:rsidRPr="00DD02A2" w:rsidRDefault="00DD02A2" w:rsidP="00DD02A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D02A2">
        <w:rPr>
          <w:rFonts w:ascii="Arial" w:hAnsi="Arial" w:cs="Arial"/>
        </w:rPr>
        <w:t>zrozumienie tekstu,</w:t>
      </w:r>
    </w:p>
    <w:p w:rsidR="00DD02A2" w:rsidRPr="00DD02A2" w:rsidRDefault="00DD02A2" w:rsidP="00DD02A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D02A2">
        <w:rPr>
          <w:rFonts w:ascii="Arial" w:hAnsi="Arial" w:cs="Arial"/>
        </w:rPr>
        <w:t xml:space="preserve">interpretowanie tekstu, </w:t>
      </w:r>
    </w:p>
    <w:p w:rsidR="00DD02A2" w:rsidRPr="00DD02A2" w:rsidRDefault="00DD02A2" w:rsidP="00DD02A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D02A2">
        <w:rPr>
          <w:rFonts w:ascii="Arial" w:hAnsi="Arial" w:cs="Arial"/>
        </w:rPr>
        <w:t>wyrażanie własnych myśli,</w:t>
      </w:r>
    </w:p>
    <w:p w:rsidR="00DD02A2" w:rsidRPr="00DD02A2" w:rsidRDefault="00DD02A2" w:rsidP="00DD02A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D02A2">
        <w:rPr>
          <w:rFonts w:ascii="Arial" w:hAnsi="Arial" w:cs="Arial"/>
        </w:rPr>
        <w:t>prezentacja swojego stanowiska,</w:t>
      </w:r>
    </w:p>
    <w:p w:rsidR="00DD02A2" w:rsidRPr="00DD02A2" w:rsidRDefault="00DD02A2" w:rsidP="00DD02A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D02A2">
        <w:rPr>
          <w:rFonts w:ascii="Arial" w:hAnsi="Arial" w:cs="Arial"/>
        </w:rPr>
        <w:t>analiza sytuacji,</w:t>
      </w:r>
    </w:p>
    <w:p w:rsidR="00DD02A2" w:rsidRPr="00DD02A2" w:rsidRDefault="00DD02A2" w:rsidP="00DD02A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D02A2">
        <w:rPr>
          <w:rFonts w:ascii="Arial" w:hAnsi="Arial" w:cs="Arial"/>
        </w:rPr>
        <w:lastRenderedPageBreak/>
        <w:t>odrzucanie nieistotnych warunków i uwzględnianie ważnych dla rozwiązywanego problemu,</w:t>
      </w:r>
    </w:p>
    <w:p w:rsidR="00DD02A2" w:rsidRPr="00DD02A2" w:rsidRDefault="00DD02A2" w:rsidP="00DD02A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D02A2">
        <w:rPr>
          <w:rFonts w:ascii="Arial" w:hAnsi="Arial" w:cs="Arial"/>
        </w:rPr>
        <w:t>wybór właściwego modelu matematycznego,</w:t>
      </w:r>
    </w:p>
    <w:p w:rsidR="00DD02A2" w:rsidRPr="00DD02A2" w:rsidRDefault="00DD02A2" w:rsidP="00DD02A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D02A2">
        <w:rPr>
          <w:rFonts w:ascii="Arial" w:hAnsi="Arial" w:cs="Arial"/>
        </w:rPr>
        <w:t>wyciąganie wniosków z przesłanek,</w:t>
      </w:r>
    </w:p>
    <w:p w:rsidR="00DD02A2" w:rsidRPr="00DD02A2" w:rsidRDefault="00DD02A2" w:rsidP="00DD02A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D02A2">
        <w:rPr>
          <w:rFonts w:ascii="Arial" w:hAnsi="Arial" w:cs="Arial"/>
        </w:rPr>
        <w:t>podawanie argumentacji i rozumienie argumentacji innych.</w:t>
      </w:r>
    </w:p>
    <w:p w:rsidR="00DD02A2" w:rsidRPr="00DD02A2" w:rsidRDefault="00DD02A2" w:rsidP="00DD02A2">
      <w:pPr>
        <w:jc w:val="both"/>
        <w:rPr>
          <w:rFonts w:ascii="Arial" w:hAnsi="Arial" w:cs="Arial"/>
          <w:sz w:val="22"/>
          <w:szCs w:val="22"/>
        </w:rPr>
      </w:pPr>
      <w:r w:rsidRPr="00DD02A2">
        <w:rPr>
          <w:rFonts w:ascii="Arial" w:hAnsi="Arial" w:cs="Arial"/>
          <w:sz w:val="22"/>
          <w:szCs w:val="22"/>
        </w:rPr>
        <w:t>Celem badania była ocena tego rodzaju umiejętności uczniów.</w:t>
      </w:r>
    </w:p>
    <w:p w:rsidR="00AE24F2" w:rsidRDefault="00AE24F2" w:rsidP="00DD02A2">
      <w:pPr>
        <w:jc w:val="both"/>
        <w:rPr>
          <w:rFonts w:ascii="Arial" w:hAnsi="Arial" w:cs="Arial"/>
          <w:b/>
          <w:sz w:val="22"/>
          <w:szCs w:val="22"/>
        </w:rPr>
      </w:pPr>
    </w:p>
    <w:p w:rsidR="00DD02A2" w:rsidRPr="00DD02A2" w:rsidRDefault="00DD02A2" w:rsidP="00DD02A2">
      <w:pPr>
        <w:jc w:val="both"/>
        <w:rPr>
          <w:rFonts w:ascii="Arial" w:hAnsi="Arial" w:cs="Arial"/>
          <w:b/>
          <w:sz w:val="22"/>
          <w:szCs w:val="22"/>
        </w:rPr>
      </w:pPr>
      <w:r w:rsidRPr="00DD02A2">
        <w:rPr>
          <w:rFonts w:ascii="Arial" w:hAnsi="Arial" w:cs="Arial"/>
          <w:b/>
          <w:sz w:val="22"/>
          <w:szCs w:val="22"/>
        </w:rPr>
        <w:t>Duże różnice poziomu opanowania umiejętności</w:t>
      </w:r>
    </w:p>
    <w:p w:rsidR="00AE24F2" w:rsidRDefault="00AE24F2" w:rsidP="00DD02A2">
      <w:pPr>
        <w:jc w:val="both"/>
        <w:rPr>
          <w:rFonts w:ascii="Arial" w:hAnsi="Arial" w:cs="Arial"/>
          <w:sz w:val="22"/>
          <w:szCs w:val="22"/>
        </w:rPr>
      </w:pPr>
    </w:p>
    <w:p w:rsidR="00DD02A2" w:rsidRPr="00DD02A2" w:rsidRDefault="00DD02A2" w:rsidP="00DD02A2">
      <w:pPr>
        <w:jc w:val="both"/>
        <w:rPr>
          <w:rFonts w:ascii="Arial" w:hAnsi="Arial" w:cs="Arial"/>
          <w:sz w:val="22"/>
          <w:szCs w:val="22"/>
        </w:rPr>
      </w:pPr>
      <w:r w:rsidRPr="00DD02A2">
        <w:rPr>
          <w:rFonts w:ascii="Arial" w:hAnsi="Arial" w:cs="Arial"/>
          <w:sz w:val="22"/>
          <w:szCs w:val="22"/>
        </w:rPr>
        <w:t>Wyniki badania „Szkoła samodzielnego myślenia” wskazują na wyraźne różnice w poziomie opanowania umiejętności rozwiązywania problemów na poszczególnych etapach edukacyjnych, zarówno w przypadku zadań z matematyki, jak i z języka polskiego. Generalnie im wyższy etap edukacyjny, tym lepiej radzili sobie uczniowie, choć nie dotyczy to uczniów z zasadniczych szkół zawodowych.</w:t>
      </w:r>
    </w:p>
    <w:p w:rsidR="00AE24F2" w:rsidRDefault="00AE24F2" w:rsidP="00DD02A2">
      <w:pPr>
        <w:jc w:val="both"/>
        <w:rPr>
          <w:rFonts w:ascii="Arial" w:hAnsi="Arial" w:cs="Arial"/>
          <w:sz w:val="22"/>
          <w:szCs w:val="22"/>
        </w:rPr>
      </w:pPr>
    </w:p>
    <w:p w:rsidR="00DD02A2" w:rsidRPr="00DD02A2" w:rsidRDefault="00DD02A2" w:rsidP="00DD02A2">
      <w:pPr>
        <w:jc w:val="both"/>
        <w:rPr>
          <w:rFonts w:ascii="Arial" w:hAnsi="Arial" w:cs="Arial"/>
          <w:sz w:val="22"/>
          <w:szCs w:val="22"/>
        </w:rPr>
      </w:pPr>
      <w:r w:rsidRPr="00DD02A2">
        <w:rPr>
          <w:rFonts w:ascii="Arial" w:hAnsi="Arial" w:cs="Arial"/>
          <w:sz w:val="22"/>
          <w:szCs w:val="22"/>
        </w:rPr>
        <w:t>Największe różnice widoczne były między IV klasą szkoły podstawowej a I klasą gimnazjum. W przypadku języka polskiego widoczna jest ona m.in. w zakresie umiejętności pozyskiwania informacji z różnych tekstów, rozumienia całości tekstu, jak również w zakresie umiejętności tworzenia tekstu, argumentacji i interpretacji.</w:t>
      </w:r>
    </w:p>
    <w:p w:rsidR="00AE24F2" w:rsidRDefault="00AE24F2" w:rsidP="00DD02A2">
      <w:pPr>
        <w:jc w:val="both"/>
        <w:rPr>
          <w:rFonts w:ascii="Arial" w:hAnsi="Arial" w:cs="Arial"/>
          <w:sz w:val="22"/>
          <w:szCs w:val="22"/>
        </w:rPr>
      </w:pPr>
    </w:p>
    <w:p w:rsidR="00DD02A2" w:rsidRPr="00DD02A2" w:rsidRDefault="00DD02A2" w:rsidP="00DD02A2">
      <w:pPr>
        <w:jc w:val="both"/>
        <w:rPr>
          <w:rFonts w:ascii="Arial" w:hAnsi="Arial" w:cs="Arial"/>
          <w:sz w:val="22"/>
          <w:szCs w:val="22"/>
        </w:rPr>
      </w:pPr>
      <w:r w:rsidRPr="00DD02A2">
        <w:rPr>
          <w:rFonts w:ascii="Arial" w:hAnsi="Arial" w:cs="Arial"/>
          <w:sz w:val="22"/>
          <w:szCs w:val="22"/>
        </w:rPr>
        <w:t>Niepokojąco słabo na każdym etapie nauczania wypadła umiejętność uzasadniania rozwiązania (zadania z matematyki) i wnioskowania (np. na podstawie informacji zawartych w tekście na lekcjach języka polskiego). Należy pamiętać, że badanie przeprowadzono w 2011 r. i objęci nim uczniowie nie uczyli się jeszcze według nowej podstawy programowej. Można jednak przypuszczać, że ta słabość nauczania umiejętności z zakresu języka polskiego i matematyki jest wciąż obecna w szkolnym nauczaniu także i dziś.</w:t>
      </w:r>
    </w:p>
    <w:p w:rsidR="00DD02A2" w:rsidRPr="00DD02A2" w:rsidRDefault="00DD02A2" w:rsidP="00DD02A2">
      <w:pPr>
        <w:jc w:val="both"/>
        <w:rPr>
          <w:rFonts w:ascii="Arial" w:hAnsi="Arial" w:cs="Arial"/>
          <w:sz w:val="22"/>
          <w:szCs w:val="22"/>
        </w:rPr>
      </w:pPr>
    </w:p>
    <w:p w:rsidR="00DD02A2" w:rsidRPr="00DD02A2" w:rsidRDefault="00DD02A2" w:rsidP="00DD02A2">
      <w:pPr>
        <w:jc w:val="both"/>
        <w:rPr>
          <w:rFonts w:ascii="Arial" w:hAnsi="Arial" w:cs="Arial"/>
          <w:b/>
          <w:sz w:val="22"/>
          <w:szCs w:val="22"/>
        </w:rPr>
      </w:pPr>
      <w:r w:rsidRPr="00DD02A2">
        <w:rPr>
          <w:rFonts w:ascii="Arial" w:hAnsi="Arial" w:cs="Arial"/>
          <w:b/>
          <w:sz w:val="22"/>
          <w:szCs w:val="22"/>
        </w:rPr>
        <w:t>Nauczyciele o umiejętnościach uczniów</w:t>
      </w:r>
    </w:p>
    <w:p w:rsidR="00AE24F2" w:rsidRDefault="00AE24F2" w:rsidP="00DD02A2">
      <w:pPr>
        <w:jc w:val="both"/>
        <w:rPr>
          <w:rFonts w:ascii="Arial" w:hAnsi="Arial" w:cs="Arial"/>
          <w:sz w:val="22"/>
          <w:szCs w:val="22"/>
        </w:rPr>
      </w:pPr>
    </w:p>
    <w:p w:rsidR="00DD02A2" w:rsidRPr="00DD02A2" w:rsidRDefault="009A33EC" w:rsidP="00DD02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D02A2" w:rsidRPr="00DD02A2">
        <w:rPr>
          <w:rFonts w:ascii="Arial" w:hAnsi="Arial" w:cs="Arial"/>
          <w:sz w:val="22"/>
          <w:szCs w:val="22"/>
        </w:rPr>
        <w:t xml:space="preserve">różnice w poziomie opanowania umiejętności uczniów </w:t>
      </w:r>
      <w:r>
        <w:rPr>
          <w:rFonts w:ascii="Arial" w:hAnsi="Arial" w:cs="Arial"/>
          <w:sz w:val="22"/>
          <w:szCs w:val="22"/>
        </w:rPr>
        <w:t>wskazywali także</w:t>
      </w:r>
      <w:r w:rsidR="00DD02A2" w:rsidRPr="00DD02A2">
        <w:rPr>
          <w:rFonts w:ascii="Arial" w:hAnsi="Arial" w:cs="Arial"/>
          <w:sz w:val="22"/>
          <w:szCs w:val="22"/>
        </w:rPr>
        <w:t xml:space="preserve"> nauczyciel</w:t>
      </w:r>
      <w:r w:rsidR="00735EF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badanych uczniów</w:t>
      </w:r>
      <w:r w:rsidR="00DD02A2" w:rsidRPr="00DD02A2">
        <w:rPr>
          <w:rFonts w:ascii="Arial" w:hAnsi="Arial" w:cs="Arial"/>
          <w:sz w:val="22"/>
          <w:szCs w:val="22"/>
        </w:rPr>
        <w:t xml:space="preserve">. Nauczyciele ze szkół podstawowych wyżej oceniali poziom kompetencji uczniów. W kolejnych etapach edukacyjny, oceny te były bardziej surowe. </w:t>
      </w:r>
    </w:p>
    <w:p w:rsidR="00DD02A2" w:rsidRPr="00DD02A2" w:rsidRDefault="00DD02A2" w:rsidP="00DD02A2">
      <w:pPr>
        <w:jc w:val="both"/>
        <w:rPr>
          <w:rFonts w:ascii="Arial" w:hAnsi="Arial" w:cs="Arial"/>
          <w:sz w:val="22"/>
          <w:szCs w:val="22"/>
        </w:rPr>
      </w:pPr>
      <w:r w:rsidRPr="00DD02A2">
        <w:rPr>
          <w:rFonts w:ascii="Arial" w:hAnsi="Arial" w:cs="Arial"/>
          <w:sz w:val="22"/>
          <w:szCs w:val="22"/>
        </w:rPr>
        <w:t xml:space="preserve">Dosyć dobrze nauczyciele oceniali wiedzę i umiejętności rachunkowe uczniów. Znacznie gorzej było z umiejętnościami związanymi z wykorzystaniem i tworzeniem informacji, modelowaniem matematycznym czy użyciem i tworzeniem strategii. </w:t>
      </w:r>
    </w:p>
    <w:p w:rsidR="00DD02A2" w:rsidRPr="00DD02A2" w:rsidRDefault="00DD02A2" w:rsidP="00DD02A2">
      <w:pPr>
        <w:jc w:val="both"/>
        <w:rPr>
          <w:rFonts w:ascii="Arial" w:hAnsi="Arial" w:cs="Arial"/>
          <w:sz w:val="22"/>
          <w:szCs w:val="22"/>
        </w:rPr>
      </w:pPr>
    </w:p>
    <w:p w:rsidR="00DD02A2" w:rsidRPr="00DD02A2" w:rsidRDefault="00DD02A2" w:rsidP="00DD02A2">
      <w:pPr>
        <w:jc w:val="both"/>
        <w:rPr>
          <w:rFonts w:ascii="Arial" w:hAnsi="Arial" w:cs="Arial"/>
          <w:sz w:val="22"/>
          <w:szCs w:val="22"/>
        </w:rPr>
      </w:pPr>
      <w:r w:rsidRPr="00DD02A2">
        <w:rPr>
          <w:rFonts w:ascii="Arial" w:hAnsi="Arial" w:cs="Arial"/>
          <w:sz w:val="22"/>
          <w:szCs w:val="22"/>
        </w:rPr>
        <w:t xml:space="preserve">Wiarę w możliwości swoich uczniów w największym stopniu zadeklarowali nauczyciele szkół podstawowych. To oni częściej niż nauczyciele uczący na wyższych etapach edukacyjnych uważali, że należy uczniom pozwolić na poszukiwanie własnych sposobów rozwiązywania zadań i doceniać ucznia, który rozwiązał zadanie inną metodą niż zaprezentowana na lekcji. Jeśli deklaracje nauczycieli zestawi się z osiągnięciami uczniów po drugim etapie edukacji, to widać zależność między deklarowanym optymizmem uczących a osiąganymi efektami. </w:t>
      </w:r>
    </w:p>
    <w:p w:rsidR="00B479F8" w:rsidRDefault="00B479F8" w:rsidP="00DD02A2">
      <w:pPr>
        <w:jc w:val="both"/>
        <w:rPr>
          <w:rFonts w:ascii="Arial" w:hAnsi="Arial" w:cs="Arial"/>
          <w:b/>
          <w:sz w:val="22"/>
          <w:szCs w:val="22"/>
        </w:rPr>
      </w:pPr>
    </w:p>
    <w:p w:rsidR="00DD02A2" w:rsidRPr="00DD02A2" w:rsidRDefault="00DD02A2" w:rsidP="00DD02A2">
      <w:pPr>
        <w:jc w:val="both"/>
        <w:rPr>
          <w:rFonts w:ascii="Arial" w:hAnsi="Arial" w:cs="Arial"/>
          <w:b/>
          <w:sz w:val="22"/>
          <w:szCs w:val="22"/>
        </w:rPr>
      </w:pPr>
      <w:r w:rsidRPr="00DD02A2">
        <w:rPr>
          <w:rFonts w:ascii="Arial" w:hAnsi="Arial" w:cs="Arial"/>
          <w:b/>
          <w:sz w:val="22"/>
          <w:szCs w:val="22"/>
        </w:rPr>
        <w:t>Problemy z rozwiązywaniem problemów</w:t>
      </w:r>
    </w:p>
    <w:p w:rsidR="00AE24F2" w:rsidRDefault="00AE24F2" w:rsidP="00DD02A2">
      <w:pPr>
        <w:jc w:val="both"/>
        <w:rPr>
          <w:rFonts w:ascii="Arial" w:hAnsi="Arial" w:cs="Arial"/>
          <w:sz w:val="22"/>
          <w:szCs w:val="22"/>
        </w:rPr>
      </w:pPr>
    </w:p>
    <w:p w:rsidR="00DD02A2" w:rsidRPr="00DD02A2" w:rsidRDefault="00DD02A2" w:rsidP="00DD02A2">
      <w:pPr>
        <w:jc w:val="both"/>
        <w:rPr>
          <w:rFonts w:ascii="Arial" w:hAnsi="Arial" w:cs="Arial"/>
          <w:sz w:val="22"/>
          <w:szCs w:val="22"/>
        </w:rPr>
      </w:pPr>
      <w:r w:rsidRPr="00DD02A2">
        <w:rPr>
          <w:rFonts w:ascii="Arial" w:hAnsi="Arial" w:cs="Arial"/>
          <w:sz w:val="22"/>
          <w:szCs w:val="22"/>
        </w:rPr>
        <w:t>Wyniki badania dostarczyły interesujących obserwacji dotyczących sposobu rozwiązywania problemów przez uczniów.</w:t>
      </w:r>
    </w:p>
    <w:p w:rsidR="00AE24F2" w:rsidRDefault="00AE24F2" w:rsidP="00DD02A2">
      <w:pPr>
        <w:jc w:val="both"/>
        <w:rPr>
          <w:rFonts w:ascii="Arial" w:hAnsi="Arial" w:cs="Arial"/>
          <w:sz w:val="22"/>
          <w:szCs w:val="22"/>
        </w:rPr>
      </w:pPr>
    </w:p>
    <w:p w:rsidR="00DD02A2" w:rsidRPr="00DD02A2" w:rsidRDefault="00DD02A2" w:rsidP="00DD02A2">
      <w:pPr>
        <w:jc w:val="both"/>
        <w:rPr>
          <w:rFonts w:ascii="Arial" w:hAnsi="Arial" w:cs="Arial"/>
          <w:sz w:val="22"/>
          <w:szCs w:val="22"/>
        </w:rPr>
      </w:pPr>
      <w:r w:rsidRPr="00DD02A2">
        <w:rPr>
          <w:rFonts w:ascii="Arial" w:hAnsi="Arial" w:cs="Arial"/>
          <w:sz w:val="22"/>
          <w:szCs w:val="22"/>
        </w:rPr>
        <w:t xml:space="preserve">W szkole uczącej według starej podstawy programowej myślenie twórcze ulegało stopniowemu wypieraniu, a uczniowie stosowali wyuczone narzędzia, nawet w sytuacjach, gdy było to </w:t>
      </w:r>
      <w:r w:rsidRPr="00DD02A2">
        <w:rPr>
          <w:rFonts w:ascii="Arial" w:hAnsi="Arial" w:cs="Arial"/>
          <w:sz w:val="22"/>
          <w:szCs w:val="22"/>
        </w:rPr>
        <w:lastRenderedPageBreak/>
        <w:t xml:space="preserve">nieracjonalne lub nieekonomiczne. Widoczne było to na przykładzie zadań matematycznych w gimnazjum. Wprowadzenie narzędzi matematycznych do rozwiązywania zadań określonego typu i ich intensywne ćwiczenie powodowało, że myślenie uczniów często stawało się usztywnione i uczniowie dość mechanicznie podchodzili do stawianych problemów. </w:t>
      </w:r>
    </w:p>
    <w:p w:rsidR="00AE24F2" w:rsidRDefault="00AE24F2" w:rsidP="00DD02A2">
      <w:pPr>
        <w:jc w:val="both"/>
        <w:rPr>
          <w:rFonts w:ascii="Arial" w:hAnsi="Arial" w:cs="Arial"/>
          <w:sz w:val="22"/>
          <w:szCs w:val="22"/>
        </w:rPr>
      </w:pPr>
    </w:p>
    <w:p w:rsidR="00DD02A2" w:rsidRPr="00DD02A2" w:rsidRDefault="00DD02A2" w:rsidP="00DD02A2">
      <w:pPr>
        <w:jc w:val="both"/>
        <w:rPr>
          <w:rFonts w:ascii="Arial" w:hAnsi="Arial" w:cs="Arial"/>
          <w:sz w:val="22"/>
          <w:szCs w:val="22"/>
        </w:rPr>
      </w:pPr>
      <w:r w:rsidRPr="00DD02A2">
        <w:rPr>
          <w:rFonts w:ascii="Arial" w:hAnsi="Arial" w:cs="Arial"/>
          <w:sz w:val="22"/>
          <w:szCs w:val="22"/>
        </w:rPr>
        <w:t xml:space="preserve">Ilustracją tego problemu w uczeniu się języka polskiego może być interpretacja tekstu poetyckiego. Wielu uczniów było bezradnych wobec tego wyzwania. Na poziomie szkoły podstawowej i gimnazjum częste były wypowiedzi jednozdaniowe lub kilkuzdaniowe, będące ledwie próbą sformułowania hipotezy interpretacyjnej. </w:t>
      </w:r>
    </w:p>
    <w:p w:rsidR="00AE24F2" w:rsidRDefault="00AE24F2" w:rsidP="00DD02A2">
      <w:pPr>
        <w:jc w:val="both"/>
        <w:rPr>
          <w:rFonts w:ascii="Arial" w:hAnsi="Arial" w:cs="Arial"/>
          <w:sz w:val="22"/>
          <w:szCs w:val="22"/>
        </w:rPr>
      </w:pPr>
    </w:p>
    <w:p w:rsidR="00DD02A2" w:rsidRPr="00DD02A2" w:rsidRDefault="00DD02A2" w:rsidP="00DD02A2">
      <w:pPr>
        <w:jc w:val="both"/>
        <w:rPr>
          <w:rFonts w:ascii="Arial" w:hAnsi="Arial" w:cs="Arial"/>
          <w:sz w:val="22"/>
          <w:szCs w:val="22"/>
        </w:rPr>
      </w:pPr>
      <w:r w:rsidRPr="00DD02A2">
        <w:rPr>
          <w:rFonts w:ascii="Arial" w:hAnsi="Arial" w:cs="Arial"/>
          <w:sz w:val="22"/>
          <w:szCs w:val="22"/>
        </w:rPr>
        <w:t>Umiejętności interpretacyjne były już znacznie wyższe w szkole ponadgimnazjalnej, było to jednak często okupione bądź zbyt dużą dowolnością interpretacyjną i nadawaniem wierszowi znaczeń w nim nieobecnych, bądź schematyzmem. Częściej jednak nauka interpretacji oznaczała nie tyle kształcenie sprawności w rozwiązywaniu problemów, ile podsuwanie schematów i gotowych wzorów.</w:t>
      </w:r>
    </w:p>
    <w:p w:rsidR="00AE24F2" w:rsidRDefault="00AE24F2" w:rsidP="00DD02A2">
      <w:pPr>
        <w:jc w:val="both"/>
        <w:rPr>
          <w:rFonts w:ascii="Arial" w:hAnsi="Arial" w:cs="Arial"/>
          <w:sz w:val="22"/>
          <w:szCs w:val="22"/>
        </w:rPr>
      </w:pPr>
    </w:p>
    <w:p w:rsidR="00DD02A2" w:rsidRPr="00DD02A2" w:rsidRDefault="00DD02A2" w:rsidP="00DD02A2">
      <w:pPr>
        <w:jc w:val="both"/>
        <w:rPr>
          <w:rFonts w:ascii="Arial" w:hAnsi="Arial" w:cs="Arial"/>
          <w:sz w:val="22"/>
          <w:szCs w:val="22"/>
        </w:rPr>
      </w:pPr>
      <w:r w:rsidRPr="00DD02A2">
        <w:rPr>
          <w:rFonts w:ascii="Arial" w:hAnsi="Arial" w:cs="Arial"/>
          <w:sz w:val="22"/>
          <w:szCs w:val="22"/>
        </w:rPr>
        <w:t>Podobnie jest w przypadku matematyki. Uczniowie nie potrafili oderwać się od schematycznego, rutynowego myślenia. Zazwyczaj całą swoją uwagę skupiali na przypomnieniu sobie schematu rozwiązania zadania, a nie na analizie przedstawionego problemu i określeniu zależności między wielkościami danymi i poszukiwanymi.</w:t>
      </w:r>
    </w:p>
    <w:p w:rsidR="00AE24F2" w:rsidRDefault="00AE24F2" w:rsidP="00DD02A2">
      <w:pPr>
        <w:jc w:val="both"/>
        <w:rPr>
          <w:rFonts w:ascii="Arial" w:hAnsi="Arial" w:cs="Arial"/>
          <w:sz w:val="22"/>
          <w:szCs w:val="22"/>
        </w:rPr>
      </w:pPr>
    </w:p>
    <w:p w:rsidR="00DD02A2" w:rsidRPr="00DD02A2" w:rsidRDefault="00DD02A2" w:rsidP="00DD02A2">
      <w:pPr>
        <w:jc w:val="both"/>
        <w:rPr>
          <w:rFonts w:ascii="Arial" w:hAnsi="Arial" w:cs="Arial"/>
          <w:sz w:val="22"/>
          <w:szCs w:val="22"/>
        </w:rPr>
      </w:pPr>
      <w:r w:rsidRPr="00DD02A2">
        <w:rPr>
          <w:rFonts w:ascii="Arial" w:hAnsi="Arial" w:cs="Arial"/>
          <w:sz w:val="22"/>
          <w:szCs w:val="22"/>
        </w:rPr>
        <w:t>Czy wprowadzenie zmian w podstawie programowej i egzaminach zewnętrznych, pomogło przezwyciężyć te słabości? Optymistyczne są pod tym względem wyniki badania PISA 2012. W zdecydowanej większości obejmowało ono ten sam rocznik uczniów, którzy trzy lata wcześniej rozpoczynali naukę w gimnazjum według nowej podstawy programowej i uczestniczyli w badaniu Szkoła Samodzielnego Myślenia. Wiele z konkretnych, zdiagnozowanych w badaniu problemów jest jednak z pewnością wciąż obecna w szkolnej edukacji - można mieć nadzieję, że wyniki badania pomogą nie tylko zwrócić uwagę na problemy, ale też przyczynić się do ich rozwiązywania w praktyce szkolnej.</w:t>
      </w:r>
    </w:p>
    <w:p w:rsidR="001C05BD" w:rsidRDefault="001C05BD" w:rsidP="001C05BD"/>
    <w:p w:rsidR="009F5671" w:rsidRDefault="009F5671" w:rsidP="001C05BD"/>
    <w:p w:rsidR="009F5671" w:rsidRDefault="009F5671" w:rsidP="001C05BD"/>
    <w:p w:rsidR="001C05BD" w:rsidRDefault="001C05BD" w:rsidP="001C05BD">
      <w:pPr>
        <w:pStyle w:val="txt"/>
        <w:rPr>
          <w:b/>
          <w:sz w:val="18"/>
          <w:szCs w:val="22"/>
          <w:u w:val="single"/>
        </w:rPr>
      </w:pPr>
      <w:r w:rsidRPr="00735A61">
        <w:rPr>
          <w:b/>
          <w:sz w:val="18"/>
          <w:szCs w:val="22"/>
          <w:u w:val="single"/>
        </w:rPr>
        <w:t>Informacja o Instytucie Badań Edukacyjnych:</w:t>
      </w:r>
    </w:p>
    <w:p w:rsidR="001C05BD" w:rsidRDefault="001C05BD" w:rsidP="001C05BD">
      <w:pPr>
        <w:pStyle w:val="txt"/>
        <w:rPr>
          <w:sz w:val="18"/>
          <w:szCs w:val="22"/>
        </w:rPr>
      </w:pPr>
      <w:r w:rsidRPr="00735A61">
        <w:rPr>
          <w:sz w:val="18"/>
          <w:szCs w:val="22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</w:t>
      </w:r>
      <w:r w:rsidRPr="0063137A">
        <w:rPr>
          <w:i/>
          <w:sz w:val="18"/>
          <w:szCs w:val="22"/>
        </w:rPr>
        <w:t>evidence-based policy and practice</w:t>
      </w:r>
      <w:r w:rsidRPr="00735A61">
        <w:rPr>
          <w:sz w:val="18"/>
          <w:szCs w:val="22"/>
        </w:rPr>
        <w:t>)</w:t>
      </w:r>
      <w:r>
        <w:rPr>
          <w:sz w:val="18"/>
          <w:szCs w:val="22"/>
        </w:rPr>
        <w:t xml:space="preserve"> </w:t>
      </w:r>
      <w:r w:rsidRPr="00735A61">
        <w:rPr>
          <w:sz w:val="18"/>
          <w:szCs w:val="22"/>
        </w:rPr>
        <w:t>i szczególnie dużą wagę przywiązuje do badań, których wyniki mogą zostać wykorzystane w praktyce</w:t>
      </w:r>
      <w:r>
        <w:rPr>
          <w:sz w:val="18"/>
          <w:szCs w:val="22"/>
        </w:rPr>
        <w:t xml:space="preserve"> i polityce edukacyjnej </w:t>
      </w:r>
      <w:r w:rsidRPr="00735A61">
        <w:rPr>
          <w:sz w:val="18"/>
          <w:szCs w:val="22"/>
        </w:rPr>
        <w:t>na szczeblu krajowym i lokalnym.</w:t>
      </w:r>
    </w:p>
    <w:p w:rsidR="001C05BD" w:rsidRDefault="00FF4686" w:rsidP="001C05BD">
      <w:pPr>
        <w:pStyle w:val="txt"/>
        <w:rPr>
          <w:sz w:val="18"/>
          <w:szCs w:val="22"/>
        </w:rPr>
      </w:pPr>
      <w:hyperlink r:id="rId9" w:history="1">
        <w:r w:rsidR="001C05BD" w:rsidRPr="00735A61">
          <w:rPr>
            <w:rStyle w:val="Hipercze"/>
            <w:sz w:val="18"/>
            <w:szCs w:val="22"/>
          </w:rPr>
          <w:t>www.ibe.edu.pl</w:t>
        </w:r>
      </w:hyperlink>
    </w:p>
    <w:p w:rsidR="001C05BD" w:rsidRDefault="001C05BD" w:rsidP="001C05BD">
      <w:pPr>
        <w:pStyle w:val="txt"/>
        <w:rPr>
          <w:sz w:val="18"/>
          <w:szCs w:val="22"/>
        </w:rPr>
      </w:pPr>
    </w:p>
    <w:p w:rsidR="001C05BD" w:rsidRDefault="001C05BD" w:rsidP="001C05BD">
      <w:pPr>
        <w:pStyle w:val="txt"/>
        <w:rPr>
          <w:b/>
          <w:sz w:val="18"/>
          <w:szCs w:val="22"/>
          <w:u w:val="single"/>
        </w:rPr>
      </w:pPr>
      <w:r w:rsidRPr="00735A61">
        <w:rPr>
          <w:b/>
          <w:sz w:val="18"/>
          <w:szCs w:val="22"/>
          <w:u w:val="single"/>
        </w:rPr>
        <w:t>Informacje o projekcie Entuzjaści Edukacji:</w:t>
      </w:r>
    </w:p>
    <w:p w:rsidR="001C05BD" w:rsidRDefault="001C05BD" w:rsidP="001C05BD">
      <w:pPr>
        <w:pStyle w:val="txt"/>
        <w:rPr>
          <w:sz w:val="18"/>
          <w:szCs w:val="22"/>
        </w:rPr>
      </w:pPr>
      <w:r w:rsidRPr="00735A61">
        <w:rPr>
          <w:sz w:val="18"/>
          <w:szCs w:val="22"/>
        </w:rPr>
        <w:t>Celem głównym projektu systemow</w:t>
      </w:r>
      <w:bookmarkStart w:id="0" w:name="_GoBack"/>
      <w:bookmarkEnd w:id="0"/>
      <w:r w:rsidRPr="00735A61">
        <w:rPr>
          <w:sz w:val="18"/>
          <w:szCs w:val="22"/>
        </w:rPr>
        <w:t>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Projekt jest realizowany przez IBE ze środków Europejskiego Funduszu Społecznego w ramach Progr</w:t>
      </w:r>
      <w:r>
        <w:rPr>
          <w:sz w:val="18"/>
          <w:szCs w:val="22"/>
        </w:rPr>
        <w:t>amu Operacyjnego Kapitał Ludzki</w:t>
      </w:r>
      <w:r w:rsidRPr="00735A61">
        <w:rPr>
          <w:sz w:val="18"/>
          <w:szCs w:val="22"/>
        </w:rPr>
        <w:t>.</w:t>
      </w:r>
    </w:p>
    <w:p w:rsidR="001C05BD" w:rsidRDefault="00FF4686" w:rsidP="001C05BD">
      <w:pPr>
        <w:pStyle w:val="txt"/>
        <w:rPr>
          <w:sz w:val="22"/>
          <w:szCs w:val="22"/>
        </w:rPr>
      </w:pPr>
      <w:hyperlink r:id="rId10" w:history="1">
        <w:r w:rsidR="001C05BD" w:rsidRPr="00735A61">
          <w:rPr>
            <w:rStyle w:val="Hipercze"/>
            <w:sz w:val="18"/>
            <w:szCs w:val="22"/>
          </w:rPr>
          <w:t>www.eduentuzjasci.pl</w:t>
        </w:r>
      </w:hyperlink>
    </w:p>
    <w:p w:rsidR="001C05BD" w:rsidRDefault="001C05BD" w:rsidP="001C05BD"/>
    <w:p w:rsidR="00F64E84" w:rsidRPr="00877AB6" w:rsidRDefault="00F64E84" w:rsidP="00712480">
      <w:pPr>
        <w:spacing w:before="240" w:afterLines="80" w:after="192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sectPr w:rsidR="00F64E84" w:rsidRPr="00877AB6" w:rsidSect="00D10E88">
      <w:headerReference w:type="default" r:id="rId11"/>
      <w:footerReference w:type="default" r:id="rId12"/>
      <w:pgSz w:w="11906" w:h="16838"/>
      <w:pgMar w:top="1797" w:right="851" w:bottom="1701" w:left="1701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86" w:rsidRDefault="00FF4686">
      <w:r>
        <w:separator/>
      </w:r>
    </w:p>
  </w:endnote>
  <w:endnote w:type="continuationSeparator" w:id="0">
    <w:p w:rsidR="00FF4686" w:rsidRDefault="00FF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84" w:rsidRPr="00727094" w:rsidRDefault="00F64E8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86" w:rsidRDefault="00FF4686">
      <w:r>
        <w:separator/>
      </w:r>
    </w:p>
  </w:footnote>
  <w:footnote w:type="continuationSeparator" w:id="0">
    <w:p w:rsidR="00FF4686" w:rsidRDefault="00FF4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84" w:rsidRPr="00AB7DC2" w:rsidRDefault="00FA1FE2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8A8"/>
    <w:multiLevelType w:val="hybridMultilevel"/>
    <w:tmpl w:val="76D8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CB42EE"/>
    <w:multiLevelType w:val="hybridMultilevel"/>
    <w:tmpl w:val="B2760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06C8E"/>
    <w:multiLevelType w:val="hybridMultilevel"/>
    <w:tmpl w:val="842608F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E7728E"/>
    <w:multiLevelType w:val="hybridMultilevel"/>
    <w:tmpl w:val="093C8F6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A3309D"/>
    <w:multiLevelType w:val="hybridMultilevel"/>
    <w:tmpl w:val="79120D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E9F787D"/>
    <w:multiLevelType w:val="hybridMultilevel"/>
    <w:tmpl w:val="961400E0"/>
    <w:lvl w:ilvl="0" w:tplc="D3F2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8E"/>
    <w:rsid w:val="00001D94"/>
    <w:rsid w:val="00005A20"/>
    <w:rsid w:val="00006B17"/>
    <w:rsid w:val="000070E8"/>
    <w:rsid w:val="000238FB"/>
    <w:rsid w:val="0005001D"/>
    <w:rsid w:val="000625E9"/>
    <w:rsid w:val="00066F80"/>
    <w:rsid w:val="0008002F"/>
    <w:rsid w:val="0009524C"/>
    <w:rsid w:val="000A3BCA"/>
    <w:rsid w:val="000A5366"/>
    <w:rsid w:val="000B7905"/>
    <w:rsid w:val="000C7FEF"/>
    <w:rsid w:val="000E515A"/>
    <w:rsid w:val="00117781"/>
    <w:rsid w:val="00122936"/>
    <w:rsid w:val="00135377"/>
    <w:rsid w:val="00135622"/>
    <w:rsid w:val="00136D3D"/>
    <w:rsid w:val="00137773"/>
    <w:rsid w:val="001427AA"/>
    <w:rsid w:val="0015265D"/>
    <w:rsid w:val="001623D7"/>
    <w:rsid w:val="0016449B"/>
    <w:rsid w:val="00174AAF"/>
    <w:rsid w:val="00174E21"/>
    <w:rsid w:val="00193D7F"/>
    <w:rsid w:val="001A20D9"/>
    <w:rsid w:val="001B6597"/>
    <w:rsid w:val="001C05BD"/>
    <w:rsid w:val="001C4E5B"/>
    <w:rsid w:val="001E6493"/>
    <w:rsid w:val="001F1E74"/>
    <w:rsid w:val="00200F25"/>
    <w:rsid w:val="00202929"/>
    <w:rsid w:val="00212150"/>
    <w:rsid w:val="002208C8"/>
    <w:rsid w:val="00223E4C"/>
    <w:rsid w:val="002510EA"/>
    <w:rsid w:val="00257872"/>
    <w:rsid w:val="00270806"/>
    <w:rsid w:val="002750E9"/>
    <w:rsid w:val="002777DC"/>
    <w:rsid w:val="0028122A"/>
    <w:rsid w:val="00297443"/>
    <w:rsid w:val="002A09C1"/>
    <w:rsid w:val="002A5D1B"/>
    <w:rsid w:val="002A60E9"/>
    <w:rsid w:val="002A6A47"/>
    <w:rsid w:val="002B373E"/>
    <w:rsid w:val="002B6A6C"/>
    <w:rsid w:val="002B788E"/>
    <w:rsid w:val="002B7897"/>
    <w:rsid w:val="00306A56"/>
    <w:rsid w:val="003128E0"/>
    <w:rsid w:val="003160F9"/>
    <w:rsid w:val="00316F86"/>
    <w:rsid w:val="003664D7"/>
    <w:rsid w:val="003A1AA8"/>
    <w:rsid w:val="003A202E"/>
    <w:rsid w:val="003B0EAF"/>
    <w:rsid w:val="003C644B"/>
    <w:rsid w:val="003C6917"/>
    <w:rsid w:val="003D086F"/>
    <w:rsid w:val="003D46B2"/>
    <w:rsid w:val="003F0F82"/>
    <w:rsid w:val="003F2F54"/>
    <w:rsid w:val="003F45CD"/>
    <w:rsid w:val="0040489A"/>
    <w:rsid w:val="004060C3"/>
    <w:rsid w:val="00406377"/>
    <w:rsid w:val="00406F75"/>
    <w:rsid w:val="00412EE8"/>
    <w:rsid w:val="004132B7"/>
    <w:rsid w:val="00415B7E"/>
    <w:rsid w:val="004228F5"/>
    <w:rsid w:val="0043629C"/>
    <w:rsid w:val="00437684"/>
    <w:rsid w:val="00440B4C"/>
    <w:rsid w:val="00443565"/>
    <w:rsid w:val="004673C7"/>
    <w:rsid w:val="004758C6"/>
    <w:rsid w:val="004A6887"/>
    <w:rsid w:val="004B062C"/>
    <w:rsid w:val="004E0CCC"/>
    <w:rsid w:val="00500079"/>
    <w:rsid w:val="00517307"/>
    <w:rsid w:val="00527F1E"/>
    <w:rsid w:val="00533569"/>
    <w:rsid w:val="0053652F"/>
    <w:rsid w:val="00541857"/>
    <w:rsid w:val="0056380F"/>
    <w:rsid w:val="0056469D"/>
    <w:rsid w:val="005655C9"/>
    <w:rsid w:val="005958F2"/>
    <w:rsid w:val="005A02E3"/>
    <w:rsid w:val="005B1944"/>
    <w:rsid w:val="005B4CC7"/>
    <w:rsid w:val="005B7EA8"/>
    <w:rsid w:val="005D0D49"/>
    <w:rsid w:val="005D0DC7"/>
    <w:rsid w:val="005F65EA"/>
    <w:rsid w:val="00601A7D"/>
    <w:rsid w:val="00610AB2"/>
    <w:rsid w:val="0062398E"/>
    <w:rsid w:val="006335E5"/>
    <w:rsid w:val="006537AE"/>
    <w:rsid w:val="00662BA9"/>
    <w:rsid w:val="00672146"/>
    <w:rsid w:val="00672F35"/>
    <w:rsid w:val="00677355"/>
    <w:rsid w:val="0068077D"/>
    <w:rsid w:val="00690908"/>
    <w:rsid w:val="00691FB6"/>
    <w:rsid w:val="00692920"/>
    <w:rsid w:val="006B03D8"/>
    <w:rsid w:val="006B27A5"/>
    <w:rsid w:val="006B4490"/>
    <w:rsid w:val="006B6605"/>
    <w:rsid w:val="006C383F"/>
    <w:rsid w:val="006C41E5"/>
    <w:rsid w:val="006E5D0D"/>
    <w:rsid w:val="006F441E"/>
    <w:rsid w:val="006F4D8E"/>
    <w:rsid w:val="007004A5"/>
    <w:rsid w:val="00703600"/>
    <w:rsid w:val="0070740A"/>
    <w:rsid w:val="00707ABA"/>
    <w:rsid w:val="00712480"/>
    <w:rsid w:val="00717EBF"/>
    <w:rsid w:val="00727094"/>
    <w:rsid w:val="00732922"/>
    <w:rsid w:val="00735EFF"/>
    <w:rsid w:val="007463A3"/>
    <w:rsid w:val="00752F07"/>
    <w:rsid w:val="00753D33"/>
    <w:rsid w:val="007576D6"/>
    <w:rsid w:val="00761865"/>
    <w:rsid w:val="007825D0"/>
    <w:rsid w:val="00783796"/>
    <w:rsid w:val="00785732"/>
    <w:rsid w:val="00794EC2"/>
    <w:rsid w:val="007A6E99"/>
    <w:rsid w:val="007D2CCB"/>
    <w:rsid w:val="007E77AC"/>
    <w:rsid w:val="007F3828"/>
    <w:rsid w:val="007F3BD9"/>
    <w:rsid w:val="00820E75"/>
    <w:rsid w:val="00824C7F"/>
    <w:rsid w:val="008300E2"/>
    <w:rsid w:val="0083318F"/>
    <w:rsid w:val="00835A83"/>
    <w:rsid w:val="00854B29"/>
    <w:rsid w:val="00873D6B"/>
    <w:rsid w:val="008767AE"/>
    <w:rsid w:val="00877AB6"/>
    <w:rsid w:val="00881586"/>
    <w:rsid w:val="00884F1C"/>
    <w:rsid w:val="00886412"/>
    <w:rsid w:val="008B0C26"/>
    <w:rsid w:val="008B2027"/>
    <w:rsid w:val="008B3402"/>
    <w:rsid w:val="008B7EC4"/>
    <w:rsid w:val="008D0242"/>
    <w:rsid w:val="008E4141"/>
    <w:rsid w:val="009016D3"/>
    <w:rsid w:val="009413EE"/>
    <w:rsid w:val="00961457"/>
    <w:rsid w:val="00975D36"/>
    <w:rsid w:val="009822AE"/>
    <w:rsid w:val="009950EE"/>
    <w:rsid w:val="009A321F"/>
    <w:rsid w:val="009A33EC"/>
    <w:rsid w:val="009A52D9"/>
    <w:rsid w:val="009B531B"/>
    <w:rsid w:val="009C0B14"/>
    <w:rsid w:val="009C1F69"/>
    <w:rsid w:val="009C2897"/>
    <w:rsid w:val="009D3816"/>
    <w:rsid w:val="009E7E41"/>
    <w:rsid w:val="009F22DB"/>
    <w:rsid w:val="009F5671"/>
    <w:rsid w:val="00A02872"/>
    <w:rsid w:val="00A251EF"/>
    <w:rsid w:val="00A25E0F"/>
    <w:rsid w:val="00A37AAB"/>
    <w:rsid w:val="00A40C8E"/>
    <w:rsid w:val="00A40CD5"/>
    <w:rsid w:val="00A45426"/>
    <w:rsid w:val="00A55B81"/>
    <w:rsid w:val="00A747F7"/>
    <w:rsid w:val="00A93CF9"/>
    <w:rsid w:val="00A9648D"/>
    <w:rsid w:val="00AA6ADB"/>
    <w:rsid w:val="00AB2A35"/>
    <w:rsid w:val="00AB4798"/>
    <w:rsid w:val="00AB76E8"/>
    <w:rsid w:val="00AB7DC2"/>
    <w:rsid w:val="00AC0DF6"/>
    <w:rsid w:val="00AC1BB7"/>
    <w:rsid w:val="00AD228C"/>
    <w:rsid w:val="00AD68F8"/>
    <w:rsid w:val="00AE24F2"/>
    <w:rsid w:val="00B03748"/>
    <w:rsid w:val="00B2638A"/>
    <w:rsid w:val="00B27760"/>
    <w:rsid w:val="00B3608F"/>
    <w:rsid w:val="00B44BFF"/>
    <w:rsid w:val="00B454A4"/>
    <w:rsid w:val="00B479F8"/>
    <w:rsid w:val="00B53E80"/>
    <w:rsid w:val="00B64CD2"/>
    <w:rsid w:val="00B811F0"/>
    <w:rsid w:val="00B86CB0"/>
    <w:rsid w:val="00BA22EB"/>
    <w:rsid w:val="00BA79AB"/>
    <w:rsid w:val="00BC3309"/>
    <w:rsid w:val="00BD5471"/>
    <w:rsid w:val="00BE6BF5"/>
    <w:rsid w:val="00BE6D8D"/>
    <w:rsid w:val="00C019AD"/>
    <w:rsid w:val="00C01D53"/>
    <w:rsid w:val="00C05A48"/>
    <w:rsid w:val="00C16A3E"/>
    <w:rsid w:val="00C25162"/>
    <w:rsid w:val="00C26A34"/>
    <w:rsid w:val="00C307DC"/>
    <w:rsid w:val="00C33780"/>
    <w:rsid w:val="00C411F2"/>
    <w:rsid w:val="00C42D5E"/>
    <w:rsid w:val="00C50BC6"/>
    <w:rsid w:val="00C5269C"/>
    <w:rsid w:val="00C545EA"/>
    <w:rsid w:val="00C67BE1"/>
    <w:rsid w:val="00C72C96"/>
    <w:rsid w:val="00C735CA"/>
    <w:rsid w:val="00C82C71"/>
    <w:rsid w:val="00CA09C4"/>
    <w:rsid w:val="00CB3A99"/>
    <w:rsid w:val="00CC756C"/>
    <w:rsid w:val="00CE7CC0"/>
    <w:rsid w:val="00CF7520"/>
    <w:rsid w:val="00D10E88"/>
    <w:rsid w:val="00D158E5"/>
    <w:rsid w:val="00D363BC"/>
    <w:rsid w:val="00D4373D"/>
    <w:rsid w:val="00D466D4"/>
    <w:rsid w:val="00D56043"/>
    <w:rsid w:val="00D704D7"/>
    <w:rsid w:val="00D82499"/>
    <w:rsid w:val="00DA3472"/>
    <w:rsid w:val="00DA505E"/>
    <w:rsid w:val="00DD02A2"/>
    <w:rsid w:val="00DD35E7"/>
    <w:rsid w:val="00DD3B77"/>
    <w:rsid w:val="00DE5D30"/>
    <w:rsid w:val="00DE73A1"/>
    <w:rsid w:val="00E038A2"/>
    <w:rsid w:val="00E12F1E"/>
    <w:rsid w:val="00E25B86"/>
    <w:rsid w:val="00E51422"/>
    <w:rsid w:val="00E61E70"/>
    <w:rsid w:val="00E75143"/>
    <w:rsid w:val="00E8043C"/>
    <w:rsid w:val="00E84389"/>
    <w:rsid w:val="00EE3937"/>
    <w:rsid w:val="00EF69CA"/>
    <w:rsid w:val="00F276FF"/>
    <w:rsid w:val="00F446C4"/>
    <w:rsid w:val="00F616F7"/>
    <w:rsid w:val="00F62EEB"/>
    <w:rsid w:val="00F64E84"/>
    <w:rsid w:val="00F66433"/>
    <w:rsid w:val="00F709B6"/>
    <w:rsid w:val="00F953D0"/>
    <w:rsid w:val="00F97C07"/>
    <w:rsid w:val="00FA1FE2"/>
    <w:rsid w:val="00FA3B9A"/>
    <w:rsid w:val="00FC4732"/>
    <w:rsid w:val="00FD3A06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9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17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BE1"/>
    <w:rPr>
      <w:rFonts w:cs="Times New Roman"/>
      <w:sz w:val="2"/>
      <w:lang w:val="pt-PT" w:eastAsia="pt-PT"/>
    </w:rPr>
  </w:style>
  <w:style w:type="character" w:styleId="Odwoaniedokomentarza">
    <w:name w:val="annotation reference"/>
    <w:basedOn w:val="Domylnaczcionkaakapitu"/>
    <w:uiPriority w:val="99"/>
    <w:semiHidden/>
    <w:rsid w:val="001177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781"/>
    <w:pPr>
      <w:spacing w:after="200" w:line="276" w:lineRule="auto"/>
    </w:pPr>
    <w:rPr>
      <w:rFonts w:ascii="Calibri" w:hAnsi="Calibr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7BE1"/>
    <w:rPr>
      <w:rFonts w:cs="Times New Roman"/>
      <w:sz w:val="20"/>
      <w:szCs w:val="20"/>
      <w:lang w:val="pt-PT" w:eastAsia="pt-PT"/>
    </w:rPr>
  </w:style>
  <w:style w:type="paragraph" w:styleId="Bezodstpw">
    <w:name w:val="No Spacing"/>
    <w:uiPriority w:val="99"/>
    <w:qFormat/>
    <w:rsid w:val="006C41E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2F1E"/>
    <w:pPr>
      <w:spacing w:after="0" w:line="240" w:lineRule="auto"/>
    </w:pPr>
    <w:rPr>
      <w:rFonts w:ascii="Times New Roman" w:hAnsi="Times New Roman"/>
      <w:b/>
      <w:bCs/>
      <w:lang w:val="pt-PT" w:eastAsia="pt-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F1E"/>
    <w:rPr>
      <w:rFonts w:cs="Times New Roman"/>
      <w:b/>
      <w:bCs/>
      <w:sz w:val="20"/>
      <w:szCs w:val="20"/>
      <w:lang w:val="pt-PT" w:eastAsia="pt-PT"/>
    </w:rPr>
  </w:style>
  <w:style w:type="paragraph" w:styleId="Akapitzlist">
    <w:name w:val="List Paragraph"/>
    <w:basedOn w:val="Normalny"/>
    <w:uiPriority w:val="34"/>
    <w:qFormat/>
    <w:rsid w:val="00DD02A2"/>
    <w:pPr>
      <w:spacing w:after="200" w:line="276" w:lineRule="auto"/>
      <w:ind w:left="720"/>
      <w:contextualSpacing/>
    </w:pPr>
    <w:rPr>
      <w:rFonts w:ascii="Segoe UI" w:eastAsia="Calibri" w:hAnsi="Segoe UI" w:cs="Segoe UI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9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17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BE1"/>
    <w:rPr>
      <w:rFonts w:cs="Times New Roman"/>
      <w:sz w:val="2"/>
      <w:lang w:val="pt-PT" w:eastAsia="pt-PT"/>
    </w:rPr>
  </w:style>
  <w:style w:type="character" w:styleId="Odwoaniedokomentarza">
    <w:name w:val="annotation reference"/>
    <w:basedOn w:val="Domylnaczcionkaakapitu"/>
    <w:uiPriority w:val="99"/>
    <w:semiHidden/>
    <w:rsid w:val="001177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781"/>
    <w:pPr>
      <w:spacing w:after="200" w:line="276" w:lineRule="auto"/>
    </w:pPr>
    <w:rPr>
      <w:rFonts w:ascii="Calibri" w:hAnsi="Calibr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7BE1"/>
    <w:rPr>
      <w:rFonts w:cs="Times New Roman"/>
      <w:sz w:val="20"/>
      <w:szCs w:val="20"/>
      <w:lang w:val="pt-PT" w:eastAsia="pt-PT"/>
    </w:rPr>
  </w:style>
  <w:style w:type="paragraph" w:styleId="Bezodstpw">
    <w:name w:val="No Spacing"/>
    <w:uiPriority w:val="99"/>
    <w:qFormat/>
    <w:rsid w:val="006C41E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2F1E"/>
    <w:pPr>
      <w:spacing w:after="0" w:line="240" w:lineRule="auto"/>
    </w:pPr>
    <w:rPr>
      <w:rFonts w:ascii="Times New Roman" w:hAnsi="Times New Roman"/>
      <w:b/>
      <w:bCs/>
      <w:lang w:val="pt-PT" w:eastAsia="pt-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F1E"/>
    <w:rPr>
      <w:rFonts w:cs="Times New Roman"/>
      <w:b/>
      <w:bCs/>
      <w:sz w:val="20"/>
      <w:szCs w:val="20"/>
      <w:lang w:val="pt-PT" w:eastAsia="pt-PT"/>
    </w:rPr>
  </w:style>
  <w:style w:type="paragraph" w:styleId="Akapitzlist">
    <w:name w:val="List Paragraph"/>
    <w:basedOn w:val="Normalny"/>
    <w:uiPriority w:val="34"/>
    <w:qFormat/>
    <w:rsid w:val="00DD02A2"/>
    <w:pPr>
      <w:spacing w:after="200" w:line="276" w:lineRule="auto"/>
      <w:ind w:left="720"/>
      <w:contextualSpacing/>
    </w:pPr>
    <w:rPr>
      <w:rFonts w:ascii="Segoe UI" w:eastAsia="Calibri" w:hAnsi="Segoe UI" w:cs="Segoe U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duentuzjasc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be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C48D0-842A-450E-B559-8CC59A36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USER</dc:creator>
  <cp:lastModifiedBy>a.walczak</cp:lastModifiedBy>
  <cp:revision>2</cp:revision>
  <cp:lastPrinted>2013-07-15T09:36:00Z</cp:lastPrinted>
  <dcterms:created xsi:type="dcterms:W3CDTF">2014-02-11T06:23:00Z</dcterms:created>
  <dcterms:modified xsi:type="dcterms:W3CDTF">2014-02-11T06:23:00Z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