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5B" w:rsidRPr="009B438B" w:rsidRDefault="001E1A5B" w:rsidP="009B438B">
      <w:pPr>
        <w:pStyle w:val="tytul"/>
        <w:jc w:val="right"/>
        <w:rPr>
          <w:b w:val="0"/>
          <w:sz w:val="22"/>
          <w:szCs w:val="22"/>
        </w:rPr>
      </w:pPr>
      <w:r w:rsidRPr="009B438B">
        <w:rPr>
          <w:b w:val="0"/>
          <w:sz w:val="22"/>
          <w:szCs w:val="22"/>
        </w:rPr>
        <w:t>Warszawa</w:t>
      </w:r>
      <w:r w:rsidR="00EE226D" w:rsidRPr="009B438B">
        <w:rPr>
          <w:b w:val="0"/>
          <w:sz w:val="22"/>
          <w:szCs w:val="22"/>
        </w:rPr>
        <w:t>,</w:t>
      </w:r>
      <w:r w:rsidR="00D77F34" w:rsidRPr="009B438B">
        <w:rPr>
          <w:b w:val="0"/>
          <w:sz w:val="22"/>
          <w:szCs w:val="22"/>
        </w:rPr>
        <w:t xml:space="preserve"> </w:t>
      </w:r>
      <w:r w:rsidR="00AF15B3" w:rsidRPr="009B438B">
        <w:rPr>
          <w:b w:val="0"/>
          <w:sz w:val="22"/>
          <w:szCs w:val="22"/>
        </w:rPr>
        <w:t>25</w:t>
      </w:r>
      <w:r w:rsidR="006F2AC9" w:rsidRPr="009B438B">
        <w:rPr>
          <w:b w:val="0"/>
          <w:sz w:val="22"/>
          <w:szCs w:val="22"/>
        </w:rPr>
        <w:t xml:space="preserve"> </w:t>
      </w:r>
      <w:r w:rsidR="0056006E" w:rsidRPr="009B438B">
        <w:rPr>
          <w:b w:val="0"/>
          <w:sz w:val="22"/>
          <w:szCs w:val="22"/>
        </w:rPr>
        <w:t>czerwca</w:t>
      </w:r>
      <w:r w:rsidR="006F2AC9" w:rsidRPr="009B438B">
        <w:rPr>
          <w:b w:val="0"/>
          <w:sz w:val="22"/>
          <w:szCs w:val="22"/>
        </w:rPr>
        <w:t xml:space="preserve"> </w:t>
      </w:r>
      <w:r w:rsidR="005A1EAC" w:rsidRPr="009B438B">
        <w:rPr>
          <w:b w:val="0"/>
          <w:sz w:val="22"/>
          <w:szCs w:val="22"/>
        </w:rPr>
        <w:t>2014</w:t>
      </w:r>
      <w:r w:rsidR="00953E8A" w:rsidRPr="009B438B">
        <w:rPr>
          <w:b w:val="0"/>
          <w:sz w:val="22"/>
          <w:szCs w:val="22"/>
        </w:rPr>
        <w:t xml:space="preserve"> r.</w:t>
      </w:r>
    </w:p>
    <w:p w:rsidR="001E1A5B" w:rsidRPr="009B438B" w:rsidRDefault="001E1A5B" w:rsidP="009B438B">
      <w:pPr>
        <w:pStyle w:val="informacjaprasowa"/>
        <w:rPr>
          <w:sz w:val="22"/>
          <w:szCs w:val="22"/>
        </w:rPr>
      </w:pPr>
      <w:r w:rsidRPr="009B438B">
        <w:rPr>
          <w:sz w:val="22"/>
          <w:szCs w:val="22"/>
        </w:rPr>
        <w:t>Informacja prasowa</w:t>
      </w:r>
    </w:p>
    <w:p w:rsidR="001E1A5B" w:rsidRPr="009B438B" w:rsidRDefault="001E1A5B" w:rsidP="009B438B">
      <w:pPr>
        <w:pStyle w:val="tytul"/>
        <w:jc w:val="both"/>
        <w:rPr>
          <w:b w:val="0"/>
          <w:sz w:val="22"/>
          <w:szCs w:val="22"/>
        </w:rPr>
      </w:pPr>
    </w:p>
    <w:p w:rsidR="001E1A5B" w:rsidRPr="009B438B" w:rsidRDefault="001E1A5B" w:rsidP="009B438B">
      <w:pPr>
        <w:pStyle w:val="tytul"/>
        <w:jc w:val="both"/>
        <w:rPr>
          <w:sz w:val="22"/>
          <w:szCs w:val="22"/>
        </w:rPr>
      </w:pPr>
    </w:p>
    <w:p w:rsidR="001E1A5B" w:rsidRPr="009B438B" w:rsidRDefault="001E1A5B" w:rsidP="009B438B">
      <w:pPr>
        <w:pStyle w:val="tytul"/>
        <w:jc w:val="both"/>
        <w:rPr>
          <w:sz w:val="22"/>
          <w:szCs w:val="22"/>
        </w:rPr>
      </w:pPr>
    </w:p>
    <w:p w:rsidR="00D95456" w:rsidRPr="00AB38C4" w:rsidRDefault="009B438B" w:rsidP="009B438B">
      <w:pPr>
        <w:pStyle w:val="tytul"/>
        <w:jc w:val="both"/>
        <w:rPr>
          <w:sz w:val="28"/>
          <w:szCs w:val="28"/>
        </w:rPr>
      </w:pPr>
      <w:r w:rsidRPr="00AB38C4">
        <w:rPr>
          <w:sz w:val="28"/>
          <w:szCs w:val="28"/>
        </w:rPr>
        <w:t>Nauczyciele</w:t>
      </w:r>
      <w:r w:rsidR="00180760" w:rsidRPr="00AB38C4">
        <w:rPr>
          <w:sz w:val="28"/>
          <w:szCs w:val="28"/>
        </w:rPr>
        <w:t> i </w:t>
      </w:r>
      <w:r w:rsidRPr="00AB38C4">
        <w:rPr>
          <w:sz w:val="28"/>
          <w:szCs w:val="28"/>
        </w:rPr>
        <w:t xml:space="preserve">dyrektorzy gimnazjum w świetle Międzynarodowego </w:t>
      </w:r>
      <w:r w:rsidR="00C30C28" w:rsidRPr="00AB38C4">
        <w:rPr>
          <w:sz w:val="28"/>
          <w:szCs w:val="28"/>
        </w:rPr>
        <w:t>b</w:t>
      </w:r>
      <w:r w:rsidRPr="00AB38C4">
        <w:rPr>
          <w:sz w:val="28"/>
          <w:szCs w:val="28"/>
        </w:rPr>
        <w:t xml:space="preserve">adania </w:t>
      </w:r>
      <w:r w:rsidR="00C30C28" w:rsidRPr="00AB38C4">
        <w:rPr>
          <w:sz w:val="28"/>
          <w:szCs w:val="28"/>
        </w:rPr>
        <w:t>n</w:t>
      </w:r>
      <w:r w:rsidRPr="00AB38C4">
        <w:rPr>
          <w:sz w:val="28"/>
          <w:szCs w:val="28"/>
        </w:rPr>
        <w:t>auczania</w:t>
      </w:r>
      <w:r w:rsidR="00180760" w:rsidRPr="00AB38C4">
        <w:rPr>
          <w:sz w:val="28"/>
          <w:szCs w:val="28"/>
        </w:rPr>
        <w:t> i </w:t>
      </w:r>
      <w:r w:rsidR="00C30C28" w:rsidRPr="00AB38C4">
        <w:rPr>
          <w:sz w:val="28"/>
          <w:szCs w:val="28"/>
        </w:rPr>
        <w:t>u</w:t>
      </w:r>
      <w:r w:rsidRPr="00AB38C4">
        <w:rPr>
          <w:sz w:val="28"/>
          <w:szCs w:val="28"/>
        </w:rPr>
        <w:t>czenia się (TALIS 2013)</w:t>
      </w:r>
    </w:p>
    <w:p w:rsidR="00254216" w:rsidRPr="00AB38C4" w:rsidRDefault="00254216" w:rsidP="009B438B">
      <w:pPr>
        <w:pStyle w:val="txt"/>
        <w:rPr>
          <w:sz w:val="22"/>
          <w:szCs w:val="22"/>
        </w:rPr>
      </w:pPr>
    </w:p>
    <w:p w:rsidR="00254216" w:rsidRPr="00AB38C4" w:rsidRDefault="00EE3A44" w:rsidP="00671150">
      <w:pPr>
        <w:pStyle w:val="txt"/>
        <w:spacing w:line="276" w:lineRule="auto"/>
        <w:rPr>
          <w:b/>
          <w:sz w:val="22"/>
          <w:szCs w:val="22"/>
        </w:rPr>
      </w:pPr>
      <w:r w:rsidRPr="00AB38C4">
        <w:rPr>
          <w:b/>
          <w:sz w:val="22"/>
          <w:szCs w:val="22"/>
        </w:rPr>
        <w:t>Praca z uczniami ze spec</w:t>
      </w:r>
      <w:r w:rsidR="008800AB" w:rsidRPr="00AB38C4">
        <w:rPr>
          <w:b/>
          <w:sz w:val="22"/>
          <w:szCs w:val="22"/>
        </w:rPr>
        <w:t>jalnymi potr</w:t>
      </w:r>
      <w:r w:rsidRPr="00AB38C4">
        <w:rPr>
          <w:b/>
          <w:sz w:val="22"/>
          <w:szCs w:val="22"/>
        </w:rPr>
        <w:t>zebami</w:t>
      </w:r>
      <w:r w:rsidR="008800AB" w:rsidRPr="00AB38C4">
        <w:rPr>
          <w:b/>
          <w:sz w:val="22"/>
          <w:szCs w:val="22"/>
        </w:rPr>
        <w:t xml:space="preserve"> </w:t>
      </w:r>
      <w:r w:rsidR="006E5A94">
        <w:rPr>
          <w:b/>
          <w:sz w:val="22"/>
          <w:szCs w:val="22"/>
        </w:rPr>
        <w:t>edukacyjnymi</w:t>
      </w:r>
      <w:r w:rsidR="008800AB" w:rsidRPr="00AB38C4">
        <w:rPr>
          <w:b/>
          <w:sz w:val="22"/>
          <w:szCs w:val="22"/>
        </w:rPr>
        <w:t>, z</w:t>
      </w:r>
      <w:r w:rsidRPr="00AB38C4">
        <w:rPr>
          <w:b/>
          <w:sz w:val="22"/>
          <w:szCs w:val="22"/>
        </w:rPr>
        <w:t xml:space="preserve"> klasą, wykorzystanie nowoczesn</w:t>
      </w:r>
      <w:r w:rsidR="008800AB" w:rsidRPr="00AB38C4">
        <w:rPr>
          <w:b/>
          <w:sz w:val="22"/>
          <w:szCs w:val="22"/>
        </w:rPr>
        <w:t xml:space="preserve">ych technologii – to </w:t>
      </w:r>
      <w:r w:rsidRPr="00AB38C4">
        <w:rPr>
          <w:b/>
          <w:sz w:val="22"/>
          <w:szCs w:val="22"/>
        </w:rPr>
        <w:t>głó</w:t>
      </w:r>
      <w:r w:rsidR="008800AB" w:rsidRPr="00AB38C4">
        <w:rPr>
          <w:b/>
          <w:sz w:val="22"/>
          <w:szCs w:val="22"/>
        </w:rPr>
        <w:t xml:space="preserve">wne potrzeby szkoleniowe polskich nauczycieli. </w:t>
      </w:r>
      <w:r w:rsidR="00BA224F" w:rsidRPr="00AB38C4">
        <w:rPr>
          <w:b/>
          <w:sz w:val="22"/>
          <w:szCs w:val="22"/>
        </w:rPr>
        <w:t xml:space="preserve">94 procent uważa, </w:t>
      </w:r>
      <w:r w:rsidR="00ED7325">
        <w:rPr>
          <w:b/>
          <w:sz w:val="22"/>
          <w:szCs w:val="22"/>
        </w:rPr>
        <w:t>ż</w:t>
      </w:r>
      <w:r w:rsidR="00BA224F" w:rsidRPr="00AB38C4">
        <w:rPr>
          <w:b/>
          <w:sz w:val="22"/>
          <w:szCs w:val="22"/>
        </w:rPr>
        <w:t>e należy uczyć dzieci samodzielnego my</w:t>
      </w:r>
      <w:r w:rsidR="006E5A94">
        <w:rPr>
          <w:b/>
          <w:sz w:val="22"/>
          <w:szCs w:val="22"/>
        </w:rPr>
        <w:t>ś</w:t>
      </w:r>
      <w:r w:rsidR="00BA224F" w:rsidRPr="00AB38C4">
        <w:rPr>
          <w:b/>
          <w:sz w:val="22"/>
          <w:szCs w:val="22"/>
        </w:rPr>
        <w:t>lenia, jednak wyróżnia ich lepsza dy</w:t>
      </w:r>
      <w:r w:rsidR="006E5A94">
        <w:rPr>
          <w:b/>
          <w:sz w:val="22"/>
          <w:szCs w:val="22"/>
        </w:rPr>
        <w:t>s</w:t>
      </w:r>
      <w:r w:rsidR="00BA224F" w:rsidRPr="00AB38C4">
        <w:rPr>
          <w:b/>
          <w:sz w:val="22"/>
          <w:szCs w:val="22"/>
        </w:rPr>
        <w:t xml:space="preserve">cyplina na lekcjach. </w:t>
      </w:r>
      <w:r w:rsidR="006E5A94">
        <w:rPr>
          <w:b/>
          <w:sz w:val="22"/>
          <w:szCs w:val="22"/>
        </w:rPr>
        <w:t xml:space="preserve">Tylko w Polsce nauczycieli ocenia wyłącznie dyrektor. </w:t>
      </w:r>
    </w:p>
    <w:p w:rsidR="00254216" w:rsidRPr="00AB38C4" w:rsidRDefault="00254216" w:rsidP="00671150">
      <w:pPr>
        <w:pStyle w:val="txt"/>
        <w:spacing w:line="276" w:lineRule="auto"/>
        <w:rPr>
          <w:b/>
          <w:sz w:val="22"/>
          <w:szCs w:val="22"/>
        </w:rPr>
      </w:pPr>
    </w:p>
    <w:p w:rsidR="009B438B" w:rsidRPr="00B707ED" w:rsidRDefault="009B438B" w:rsidP="00671150">
      <w:pPr>
        <w:pStyle w:val="txt"/>
        <w:spacing w:line="276" w:lineRule="auto"/>
        <w:rPr>
          <w:sz w:val="22"/>
          <w:szCs w:val="22"/>
        </w:rPr>
      </w:pPr>
      <w:r w:rsidRPr="00B707ED">
        <w:rPr>
          <w:sz w:val="22"/>
          <w:szCs w:val="22"/>
        </w:rPr>
        <w:t xml:space="preserve">Instytut Badań Edukacyjnych opublikował wyniki Międzynarodowego </w:t>
      </w:r>
      <w:r w:rsidR="00C30C28" w:rsidRPr="00B707ED">
        <w:rPr>
          <w:sz w:val="22"/>
          <w:szCs w:val="22"/>
        </w:rPr>
        <w:t>b</w:t>
      </w:r>
      <w:r w:rsidRPr="00B707ED">
        <w:rPr>
          <w:sz w:val="22"/>
          <w:szCs w:val="22"/>
        </w:rPr>
        <w:t xml:space="preserve">adania </w:t>
      </w:r>
      <w:r w:rsidR="00C30C28" w:rsidRPr="00B707ED">
        <w:rPr>
          <w:sz w:val="22"/>
          <w:szCs w:val="22"/>
        </w:rPr>
        <w:t>n</w:t>
      </w:r>
      <w:r w:rsidRPr="00B707ED">
        <w:rPr>
          <w:sz w:val="22"/>
          <w:szCs w:val="22"/>
        </w:rPr>
        <w:t>auczania</w:t>
      </w:r>
      <w:r w:rsidR="00180760" w:rsidRPr="00B707ED">
        <w:rPr>
          <w:sz w:val="22"/>
          <w:szCs w:val="22"/>
        </w:rPr>
        <w:t> i </w:t>
      </w:r>
      <w:r w:rsidR="00C30C28" w:rsidRPr="00B707ED">
        <w:rPr>
          <w:sz w:val="22"/>
          <w:szCs w:val="22"/>
        </w:rPr>
        <w:t>u</w:t>
      </w:r>
      <w:r w:rsidRPr="00B707ED">
        <w:rPr>
          <w:sz w:val="22"/>
          <w:szCs w:val="22"/>
        </w:rPr>
        <w:t>czenia się TALIS</w:t>
      </w:r>
      <w:r w:rsidR="006E5A94" w:rsidRPr="00B707ED">
        <w:rPr>
          <w:sz w:val="22"/>
          <w:szCs w:val="22"/>
        </w:rPr>
        <w:t xml:space="preserve"> 2013. To druga edycja badania organizowanego przez OECD. Badanie u</w:t>
      </w:r>
      <w:r w:rsidRPr="00B707ED">
        <w:rPr>
          <w:sz w:val="22"/>
          <w:szCs w:val="22"/>
        </w:rPr>
        <w:t>możliwia porównanie opinii</w:t>
      </w:r>
      <w:r w:rsidR="00180760" w:rsidRPr="00B707ED">
        <w:rPr>
          <w:sz w:val="22"/>
          <w:szCs w:val="22"/>
        </w:rPr>
        <w:t xml:space="preserve"> </w:t>
      </w:r>
      <w:r w:rsidR="00B707ED">
        <w:rPr>
          <w:sz w:val="22"/>
          <w:szCs w:val="22"/>
        </w:rPr>
        <w:t xml:space="preserve">nauczycieli </w:t>
      </w:r>
      <w:r w:rsidR="00180760" w:rsidRPr="00B707ED">
        <w:rPr>
          <w:sz w:val="22"/>
          <w:szCs w:val="22"/>
        </w:rPr>
        <w:t>i </w:t>
      </w:r>
      <w:r w:rsidRPr="00B707ED">
        <w:rPr>
          <w:sz w:val="22"/>
          <w:szCs w:val="22"/>
        </w:rPr>
        <w:t xml:space="preserve">informacji na temat </w:t>
      </w:r>
      <w:r w:rsidR="00B707ED">
        <w:rPr>
          <w:sz w:val="22"/>
          <w:szCs w:val="22"/>
        </w:rPr>
        <w:t xml:space="preserve">ich pracy </w:t>
      </w:r>
      <w:r w:rsidRPr="00B707ED">
        <w:rPr>
          <w:sz w:val="22"/>
          <w:szCs w:val="22"/>
        </w:rPr>
        <w:t xml:space="preserve">oraz ich wpływu na proces uczenia się uczniów. </w:t>
      </w:r>
    </w:p>
    <w:p w:rsidR="009B438B" w:rsidRPr="009B438B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6FDE" w:rsidRPr="009B438B" w:rsidRDefault="001C6FDE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438B" w:rsidRDefault="008800A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Polsce </w:t>
      </w:r>
      <w:r w:rsidR="00254216">
        <w:rPr>
          <w:rFonts w:ascii="Arial" w:hAnsi="Arial" w:cs="Arial"/>
          <w:b/>
          <w:sz w:val="22"/>
          <w:szCs w:val="22"/>
        </w:rPr>
        <w:t>wię</w:t>
      </w:r>
      <w:r>
        <w:rPr>
          <w:rFonts w:ascii="Arial" w:hAnsi="Arial" w:cs="Arial"/>
          <w:b/>
          <w:sz w:val="22"/>
          <w:szCs w:val="22"/>
        </w:rPr>
        <w:t>cej kobiet dyrektorów</w:t>
      </w:r>
    </w:p>
    <w:p w:rsidR="001C6FDE" w:rsidRPr="009B438B" w:rsidRDefault="001C6FDE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B438B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Statystyczny nauczyciel gimnazjalny w krajach biorących udział w badan</w:t>
      </w:r>
      <w:r w:rsidR="00EE3A44">
        <w:rPr>
          <w:rFonts w:ascii="Arial" w:hAnsi="Arial" w:cs="Arial"/>
          <w:sz w:val="22"/>
          <w:szCs w:val="22"/>
        </w:rPr>
        <w:t>i</w:t>
      </w:r>
      <w:r w:rsidRPr="009B438B">
        <w:rPr>
          <w:rFonts w:ascii="Arial" w:hAnsi="Arial" w:cs="Arial"/>
          <w:sz w:val="22"/>
          <w:szCs w:val="22"/>
        </w:rPr>
        <w:t>u TALIS ma 43 lata. W</w:t>
      </w:r>
      <w:r w:rsidR="00180760">
        <w:rPr>
          <w:rFonts w:ascii="Arial" w:hAnsi="Arial" w:cs="Arial"/>
          <w:sz w:val="22"/>
          <w:szCs w:val="22"/>
        </w:rPr>
        <w:t> </w:t>
      </w:r>
      <w:r w:rsidRPr="009B438B">
        <w:rPr>
          <w:rFonts w:ascii="Arial" w:hAnsi="Arial" w:cs="Arial"/>
          <w:sz w:val="22"/>
          <w:szCs w:val="22"/>
        </w:rPr>
        <w:t xml:space="preserve">Polsce jest o rok młodszy, ma </w:t>
      </w:r>
      <w:r w:rsidR="00940D90">
        <w:rPr>
          <w:rFonts w:ascii="Arial" w:hAnsi="Arial" w:cs="Arial"/>
          <w:sz w:val="22"/>
          <w:szCs w:val="22"/>
        </w:rPr>
        <w:t>1</w:t>
      </w:r>
      <w:r w:rsidRPr="009B438B">
        <w:rPr>
          <w:rFonts w:ascii="Arial" w:hAnsi="Arial" w:cs="Arial"/>
          <w:sz w:val="22"/>
          <w:szCs w:val="22"/>
        </w:rPr>
        <w:t>7 lat doświadczenia zawodowego</w:t>
      </w:r>
      <w:r w:rsidR="00180760"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uczy w niewielkiej szkole publicznej. Na całym świecie w zawodzie nauczyciela dominują kobiety</w:t>
      </w:r>
      <w:r w:rsidR="00265D7E">
        <w:rPr>
          <w:rFonts w:ascii="Arial" w:hAnsi="Arial" w:cs="Arial"/>
          <w:sz w:val="22"/>
          <w:szCs w:val="22"/>
        </w:rPr>
        <w:t xml:space="preserve">. </w:t>
      </w:r>
      <w:r w:rsidRPr="009B438B">
        <w:rPr>
          <w:rFonts w:ascii="Arial" w:hAnsi="Arial" w:cs="Arial"/>
          <w:sz w:val="22"/>
          <w:szCs w:val="22"/>
        </w:rPr>
        <w:t xml:space="preserve">Jednak im wyższy etap edukacyjny, tym mniej kobiet na stanowiskach dyrektorskich. W Polsce odsetek kobiet dyrektorów w szkołach podstawowych wynosi 72%, w gimnazjach 67%, a w szkołach ponadgimnazjalnych 53%. Dyrektorami </w:t>
      </w:r>
      <w:r w:rsidR="00180760">
        <w:rPr>
          <w:rFonts w:ascii="Arial" w:hAnsi="Arial" w:cs="Arial"/>
          <w:sz w:val="22"/>
          <w:szCs w:val="22"/>
        </w:rPr>
        <w:t>są najczęściej osoby w wieku 56-</w:t>
      </w:r>
      <w:r w:rsidRPr="009B438B">
        <w:rPr>
          <w:rFonts w:ascii="Arial" w:hAnsi="Arial" w:cs="Arial"/>
          <w:sz w:val="22"/>
          <w:szCs w:val="22"/>
        </w:rPr>
        <w:t>65 lat – ich odsetek zwiększył się w porównaniu z rokiem 2008 z 29 do 49%.</w:t>
      </w:r>
    </w:p>
    <w:p w:rsidR="008800A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3A44" w:rsidRDefault="00EE3A4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Polscy nauczyciele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dyrektorzy mają lepsze wykształcenie formalne niż w wielu innych krajach, 99% to absolwenci studiów wyższych. Zdobywanie przygotowania do zawodu na uniwersytecie wydaje się powszechne w badanych krajach. Wyjątkiem jest Flandria (Belgia), gdzie 85% nauczycieli przygotowuje się do pracy w wyższej szkole zawodowej.</w:t>
      </w:r>
    </w:p>
    <w:p w:rsidR="00EE3A44" w:rsidRPr="009B438B" w:rsidRDefault="00EE3A4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0AB" w:rsidRPr="008800AB" w:rsidRDefault="008800A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800AB">
        <w:rPr>
          <w:rFonts w:ascii="Arial" w:hAnsi="Arial" w:cs="Arial"/>
          <w:b/>
          <w:sz w:val="22"/>
          <w:szCs w:val="22"/>
        </w:rPr>
        <w:t xml:space="preserve">Nie tak starzy, ale młodych </w:t>
      </w:r>
      <w:r w:rsidR="00EE3A44">
        <w:rPr>
          <w:rFonts w:ascii="Arial" w:hAnsi="Arial" w:cs="Arial"/>
          <w:b/>
          <w:sz w:val="22"/>
          <w:szCs w:val="22"/>
        </w:rPr>
        <w:t>jest mało</w:t>
      </w:r>
    </w:p>
    <w:p w:rsidR="001C6FDE" w:rsidRPr="009B438B" w:rsidRDefault="001C6FDE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438B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 xml:space="preserve">Duży problem dla systemów edukacyjnych niektórych krajów stanowi starzenie się nauczycieli, szczególnie we Włoszech (średnia wieku wynosi 49 lat, a </w:t>
      </w:r>
      <w:r w:rsidRPr="001D1AF8">
        <w:rPr>
          <w:rFonts w:ascii="Arial" w:hAnsi="Arial" w:cs="Arial"/>
          <w:sz w:val="22"/>
          <w:szCs w:val="22"/>
        </w:rPr>
        <w:t>50%</w:t>
      </w:r>
      <w:r w:rsidRPr="009B438B">
        <w:rPr>
          <w:rFonts w:ascii="Arial" w:hAnsi="Arial" w:cs="Arial"/>
          <w:sz w:val="22"/>
          <w:szCs w:val="22"/>
        </w:rPr>
        <w:t xml:space="preserve"> nauczycieli ma więcej niż 50 lat)</w:t>
      </w:r>
      <w:r w:rsidR="001D1AF8">
        <w:rPr>
          <w:rFonts w:ascii="Arial" w:hAnsi="Arial" w:cs="Arial"/>
          <w:sz w:val="22"/>
          <w:szCs w:val="22"/>
        </w:rPr>
        <w:t xml:space="preserve"> </w:t>
      </w:r>
      <w:r w:rsidR="00180760">
        <w:rPr>
          <w:rFonts w:ascii="Arial" w:hAnsi="Arial" w:cs="Arial"/>
          <w:sz w:val="22"/>
          <w:szCs w:val="22"/>
        </w:rPr>
        <w:t>i </w:t>
      </w:r>
      <w:r w:rsidRPr="009B438B">
        <w:rPr>
          <w:rFonts w:ascii="Arial" w:hAnsi="Arial" w:cs="Arial"/>
          <w:sz w:val="22"/>
          <w:szCs w:val="22"/>
        </w:rPr>
        <w:t>w Estonii (48 lat). Porównując dane z 2008 roku</w:t>
      </w:r>
      <w:r w:rsidR="00265D7E">
        <w:rPr>
          <w:rFonts w:ascii="Arial" w:hAnsi="Arial" w:cs="Arial"/>
          <w:sz w:val="22"/>
          <w:szCs w:val="22"/>
        </w:rPr>
        <w:t>,</w:t>
      </w:r>
      <w:r w:rsidRPr="009B438B">
        <w:rPr>
          <w:rFonts w:ascii="Arial" w:hAnsi="Arial" w:cs="Arial"/>
          <w:sz w:val="22"/>
          <w:szCs w:val="22"/>
        </w:rPr>
        <w:t xml:space="preserve"> widać, że problem ten pogłębia się szczególnie szybko we Włoszech, Portugalii</w:t>
      </w:r>
      <w:r w:rsidR="001D1AF8">
        <w:rPr>
          <w:rFonts w:ascii="Arial" w:hAnsi="Arial" w:cs="Arial"/>
          <w:sz w:val="22"/>
          <w:szCs w:val="22"/>
        </w:rPr>
        <w:t xml:space="preserve"> </w:t>
      </w:r>
      <w:r w:rsidR="00180760">
        <w:rPr>
          <w:rFonts w:ascii="Arial" w:hAnsi="Arial" w:cs="Arial"/>
          <w:sz w:val="22"/>
          <w:szCs w:val="22"/>
        </w:rPr>
        <w:t>i </w:t>
      </w:r>
      <w:r w:rsidRPr="009B438B">
        <w:rPr>
          <w:rFonts w:ascii="Arial" w:hAnsi="Arial" w:cs="Arial"/>
          <w:sz w:val="22"/>
          <w:szCs w:val="22"/>
        </w:rPr>
        <w:t>Bułgarii. Choć w Polsce starzenie się nauczycieli nie stanowi obecnie problemu, zwraca jednak uwagę niewielki odsetek osób młodych.</w:t>
      </w:r>
    </w:p>
    <w:p w:rsidR="001C6FDE" w:rsidRPr="009B438B" w:rsidRDefault="001C6FDE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3A44" w:rsidRDefault="00EE3A44" w:rsidP="00671150">
      <w:pPr>
        <w:spacing w:line="276" w:lineRule="auto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br w:type="page"/>
      </w:r>
    </w:p>
    <w:p w:rsidR="009B438B" w:rsidRPr="001C6FDE" w:rsidRDefault="009B438B" w:rsidP="00671150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1C6FDE">
        <w:rPr>
          <w:rFonts w:ascii="Arial" w:hAnsi="Arial" w:cs="Arial"/>
          <w:b/>
          <w:sz w:val="20"/>
          <w:szCs w:val="22"/>
        </w:rPr>
        <w:lastRenderedPageBreak/>
        <w:t>Odsetek nauczycieli według wieku w krajach TALIS</w:t>
      </w:r>
    </w:p>
    <w:p w:rsidR="009B438B" w:rsidRPr="009B438B" w:rsidRDefault="00671150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5762625" cy="2047875"/>
            <wp:effectExtent l="19050" t="0" r="9525" b="0"/>
            <wp:docPr id="9" name="Obraz 0" descr="odsetek_nauczyci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odsetek_nauczyciel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16" w:rsidRDefault="00254216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216" w:rsidRDefault="00254216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Oceniani rzadziej i tylko przez dyrektora</w:t>
      </w:r>
    </w:p>
    <w:p w:rsidR="00254216" w:rsidRDefault="00254216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D3605" w:rsidRPr="008D3605" w:rsidRDefault="00254216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3605">
        <w:rPr>
          <w:rFonts w:ascii="Arial" w:hAnsi="Arial" w:cs="Arial"/>
          <w:sz w:val="22"/>
          <w:szCs w:val="22"/>
        </w:rPr>
        <w:t xml:space="preserve">W przeciwieństwie do innych krajów uczestniczących w badaniu w Polsce oceniani są wszyscy nauczyciele. </w:t>
      </w:r>
      <w:r w:rsidR="008D3605" w:rsidRPr="008D3605">
        <w:rPr>
          <w:rFonts w:ascii="Arial" w:hAnsi="Arial" w:cs="Arial"/>
          <w:sz w:val="22"/>
          <w:szCs w:val="22"/>
        </w:rPr>
        <w:t>Jednak oceny dokonywane są dość rzadko i tylko przez dyrektora.</w:t>
      </w:r>
    </w:p>
    <w:p w:rsidR="008D3605" w:rsidRDefault="008D3605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C6FDE" w:rsidRPr="009B438B" w:rsidRDefault="00125A16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 xml:space="preserve">W innych krajach w procesie </w:t>
      </w:r>
      <w:r>
        <w:rPr>
          <w:rFonts w:ascii="Arial" w:hAnsi="Arial" w:cs="Arial"/>
          <w:sz w:val="22"/>
          <w:szCs w:val="22"/>
        </w:rPr>
        <w:t xml:space="preserve">oceniania </w:t>
      </w:r>
      <w:r w:rsidRPr="009B438B">
        <w:rPr>
          <w:rFonts w:ascii="Arial" w:hAnsi="Arial" w:cs="Arial"/>
          <w:sz w:val="22"/>
          <w:szCs w:val="22"/>
        </w:rPr>
        <w:t>biorą udział różne osoby, na przykład inni nauczyciele, członkowie zespołu zarządzającego szkołą</w:t>
      </w:r>
      <w:r>
        <w:rPr>
          <w:rFonts w:ascii="Arial" w:hAnsi="Arial" w:cs="Arial"/>
          <w:sz w:val="22"/>
          <w:szCs w:val="22"/>
        </w:rPr>
        <w:t xml:space="preserve"> (w tym rodzice)</w:t>
      </w:r>
      <w:r w:rsidRPr="009B438B">
        <w:rPr>
          <w:rFonts w:ascii="Arial" w:hAnsi="Arial" w:cs="Arial"/>
          <w:sz w:val="22"/>
          <w:szCs w:val="22"/>
        </w:rPr>
        <w:t>, wyznaczeni mentorzy czy też zewnętrzne osoby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instytucje</w:t>
      </w:r>
      <w:r>
        <w:rPr>
          <w:rFonts w:ascii="Arial" w:hAnsi="Arial" w:cs="Arial"/>
          <w:sz w:val="22"/>
          <w:szCs w:val="22"/>
        </w:rPr>
        <w:t xml:space="preserve"> np. władze lokalne</w:t>
      </w:r>
      <w:r w:rsidRPr="009B43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Polsce 93 proc. nauczycieli deklaruje, że fo</w:t>
      </w:r>
      <w:r w:rsidR="009B438B" w:rsidRPr="009B438B">
        <w:rPr>
          <w:rFonts w:ascii="Arial" w:hAnsi="Arial" w:cs="Arial"/>
          <w:sz w:val="22"/>
          <w:szCs w:val="22"/>
        </w:rPr>
        <w:t>rmaln</w:t>
      </w:r>
      <w:r>
        <w:rPr>
          <w:rFonts w:ascii="Arial" w:hAnsi="Arial" w:cs="Arial"/>
          <w:sz w:val="22"/>
          <w:szCs w:val="22"/>
        </w:rPr>
        <w:t>ej oceny</w:t>
      </w:r>
      <w:r w:rsidR="009B438B" w:rsidRPr="009B438B">
        <w:rPr>
          <w:rFonts w:ascii="Arial" w:hAnsi="Arial" w:cs="Arial"/>
          <w:sz w:val="22"/>
          <w:szCs w:val="22"/>
        </w:rPr>
        <w:t>, jak</w:t>
      </w:r>
      <w:r w:rsidR="001D1A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przekazywania </w:t>
      </w:r>
      <w:r w:rsidR="00AD4E7A">
        <w:rPr>
          <w:rFonts w:ascii="Arial" w:hAnsi="Arial" w:cs="Arial"/>
          <w:sz w:val="22"/>
          <w:szCs w:val="22"/>
        </w:rPr>
        <w:t>nie</w:t>
      </w:r>
      <w:r w:rsidR="009B438B" w:rsidRPr="009B438B">
        <w:rPr>
          <w:rFonts w:ascii="Arial" w:hAnsi="Arial" w:cs="Arial"/>
          <w:sz w:val="22"/>
          <w:szCs w:val="22"/>
        </w:rPr>
        <w:t>formaln</w:t>
      </w:r>
      <w:r>
        <w:rPr>
          <w:rFonts w:ascii="Arial" w:hAnsi="Arial" w:cs="Arial"/>
          <w:sz w:val="22"/>
          <w:szCs w:val="22"/>
        </w:rPr>
        <w:t xml:space="preserve">ych </w:t>
      </w:r>
      <w:r w:rsidR="009B438B" w:rsidRPr="009B438B">
        <w:rPr>
          <w:rFonts w:ascii="Arial" w:hAnsi="Arial" w:cs="Arial"/>
          <w:sz w:val="22"/>
          <w:szCs w:val="22"/>
        </w:rPr>
        <w:t>informacji zwrotnych dokon</w:t>
      </w:r>
      <w:r>
        <w:rPr>
          <w:rFonts w:ascii="Arial" w:hAnsi="Arial" w:cs="Arial"/>
          <w:sz w:val="22"/>
          <w:szCs w:val="22"/>
        </w:rPr>
        <w:t xml:space="preserve">uje dyrektor szkoły </w:t>
      </w:r>
      <w:r w:rsidR="009B438B" w:rsidRPr="009B438B">
        <w:rPr>
          <w:rFonts w:ascii="Arial" w:hAnsi="Arial" w:cs="Arial"/>
          <w:sz w:val="22"/>
          <w:szCs w:val="22"/>
        </w:rPr>
        <w:t xml:space="preserve">(wobec średniej TALIS: 54%). </w:t>
      </w:r>
    </w:p>
    <w:p w:rsidR="00125A16" w:rsidRDefault="00125A16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5A16" w:rsidRDefault="00125A16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W Polsce</w:t>
      </w:r>
      <w:r>
        <w:rPr>
          <w:rFonts w:ascii="Arial" w:hAnsi="Arial" w:cs="Arial"/>
          <w:sz w:val="22"/>
          <w:szCs w:val="22"/>
        </w:rPr>
        <w:t xml:space="preserve"> </w:t>
      </w:r>
      <w:r w:rsidRPr="009B438B">
        <w:rPr>
          <w:rFonts w:ascii="Arial" w:hAnsi="Arial" w:cs="Arial"/>
          <w:sz w:val="22"/>
          <w:szCs w:val="22"/>
        </w:rPr>
        <w:t xml:space="preserve">formalna ocena pracy nauczycieli dokonywana jest </w:t>
      </w:r>
      <w:r w:rsidRPr="00180760">
        <w:rPr>
          <w:rFonts w:ascii="Arial" w:hAnsi="Arial" w:cs="Arial"/>
          <w:sz w:val="22"/>
          <w:szCs w:val="22"/>
        </w:rPr>
        <w:t>stosunkowo rzadko</w:t>
      </w:r>
      <w:r>
        <w:rPr>
          <w:rFonts w:ascii="Arial" w:hAnsi="Arial" w:cs="Arial"/>
          <w:sz w:val="22"/>
          <w:szCs w:val="22"/>
        </w:rPr>
        <w:t xml:space="preserve"> </w:t>
      </w:r>
      <w:r w:rsidRPr="009B438B">
        <w:rPr>
          <w:rFonts w:ascii="Arial" w:hAnsi="Arial" w:cs="Arial"/>
          <w:sz w:val="22"/>
          <w:szCs w:val="22"/>
        </w:rPr>
        <w:t>–</w:t>
      </w:r>
      <w:r w:rsidRPr="00180760">
        <w:rPr>
          <w:rFonts w:ascii="Arial" w:hAnsi="Arial" w:cs="Arial"/>
          <w:sz w:val="22"/>
          <w:szCs w:val="22"/>
        </w:rPr>
        <w:t xml:space="preserve"> raz</w:t>
      </w:r>
      <w:r w:rsidRPr="009B438B">
        <w:rPr>
          <w:rFonts w:ascii="Arial" w:hAnsi="Arial" w:cs="Arial"/>
          <w:sz w:val="22"/>
          <w:szCs w:val="22"/>
        </w:rPr>
        <w:t xml:space="preserve"> na dwa lata lub rzadziej </w:t>
      </w:r>
      <w:r>
        <w:rPr>
          <w:rFonts w:ascii="Arial" w:hAnsi="Arial" w:cs="Arial"/>
          <w:sz w:val="22"/>
          <w:szCs w:val="22"/>
        </w:rPr>
        <w:t xml:space="preserve">ocenę pracy </w:t>
      </w:r>
      <w:r w:rsidRPr="009B438B">
        <w:rPr>
          <w:rFonts w:ascii="Arial" w:hAnsi="Arial" w:cs="Arial"/>
          <w:sz w:val="22"/>
          <w:szCs w:val="22"/>
        </w:rPr>
        <w:t>otrzymała ponad połowa</w:t>
      </w:r>
      <w:r>
        <w:rPr>
          <w:rFonts w:ascii="Arial" w:hAnsi="Arial" w:cs="Arial"/>
          <w:sz w:val="22"/>
          <w:szCs w:val="22"/>
        </w:rPr>
        <w:t xml:space="preserve"> polskich</w:t>
      </w:r>
      <w:r w:rsidRPr="009B438B">
        <w:rPr>
          <w:rFonts w:ascii="Arial" w:hAnsi="Arial" w:cs="Arial"/>
          <w:sz w:val="22"/>
          <w:szCs w:val="22"/>
        </w:rPr>
        <w:t xml:space="preserve"> nauczycieli. Dla porównania: praca 70% nauczycieli w Malezji</w:t>
      </w:r>
      <w:r>
        <w:rPr>
          <w:rFonts w:ascii="Arial" w:hAnsi="Arial" w:cs="Arial"/>
          <w:sz w:val="22"/>
          <w:szCs w:val="22"/>
        </w:rPr>
        <w:t> i </w:t>
      </w:r>
      <w:r w:rsidRPr="009B438B">
        <w:rPr>
          <w:rFonts w:ascii="Arial" w:hAnsi="Arial" w:cs="Arial"/>
          <w:sz w:val="22"/>
          <w:szCs w:val="22"/>
        </w:rPr>
        <w:t>62% nauczycieli z</w:t>
      </w:r>
      <w:r>
        <w:rPr>
          <w:rFonts w:ascii="Arial" w:hAnsi="Arial" w:cs="Arial"/>
          <w:sz w:val="22"/>
          <w:szCs w:val="22"/>
        </w:rPr>
        <w:t> </w:t>
      </w:r>
      <w:r w:rsidRPr="009B438B">
        <w:rPr>
          <w:rFonts w:ascii="Arial" w:hAnsi="Arial" w:cs="Arial"/>
          <w:sz w:val="22"/>
          <w:szCs w:val="22"/>
        </w:rPr>
        <w:t>Rumunii jest oceniana przez ich dyrektorów aż dwa lub więcej razy w roku, a w większości państw Europy – raz na rok (we Francji – 82%, w Niemczech – 60%, Norwegii – 64%, Szwecji – 59%, Anglii – 53%, Finlandii – 50%).</w:t>
      </w:r>
    </w:p>
    <w:p w:rsidR="00125A16" w:rsidRDefault="00125A16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5A16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W Polsce oceniane są: wyniki uczniów (91%), zarządzanie klasą (87%)</w:t>
      </w:r>
      <w:r w:rsidR="001D1AF8">
        <w:rPr>
          <w:rFonts w:ascii="Arial" w:hAnsi="Arial" w:cs="Arial"/>
          <w:sz w:val="22"/>
          <w:szCs w:val="22"/>
        </w:rPr>
        <w:t xml:space="preserve"> </w:t>
      </w:r>
      <w:r w:rsidR="00180760">
        <w:rPr>
          <w:rFonts w:ascii="Arial" w:hAnsi="Arial" w:cs="Arial"/>
          <w:sz w:val="22"/>
          <w:szCs w:val="22"/>
        </w:rPr>
        <w:t>i </w:t>
      </w:r>
      <w:r w:rsidRPr="009B438B">
        <w:rPr>
          <w:rFonts w:ascii="Arial" w:hAnsi="Arial" w:cs="Arial"/>
          <w:sz w:val="22"/>
          <w:szCs w:val="22"/>
        </w:rPr>
        <w:t>kompetencje związane z nauczaniem konkretnego przedmiotu (86%).</w:t>
      </w:r>
      <w:r w:rsidR="0017157C">
        <w:rPr>
          <w:rFonts w:ascii="Arial" w:hAnsi="Arial" w:cs="Arial"/>
          <w:sz w:val="22"/>
          <w:szCs w:val="22"/>
        </w:rPr>
        <w:t xml:space="preserve"> </w:t>
      </w:r>
      <w:r w:rsidR="00125A16" w:rsidRPr="009B438B">
        <w:rPr>
          <w:rFonts w:ascii="Arial" w:hAnsi="Arial" w:cs="Arial"/>
          <w:sz w:val="22"/>
          <w:szCs w:val="22"/>
        </w:rPr>
        <w:t>Zdaniem nauczycieli ocena ich pracy w praktyce nie pociąga za sobą formalnych konsekwencji (np. w postaci nagród, podwyżki płac, zwolnienia z pracy).</w:t>
      </w:r>
    </w:p>
    <w:p w:rsidR="001D1AF8" w:rsidRDefault="001D1AF8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0AB" w:rsidRDefault="00EE3A4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Wiedzą, jakich szkoleń im brakuje</w:t>
      </w:r>
    </w:p>
    <w:p w:rsidR="008800AB" w:rsidRPr="009B438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0A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Jedną z największych potrzeb polskich nauczycieli w zakresie doskonalenia zawodowego są umiejętności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wiedza przydatna w pracy z uczniami ze specjalnymi potrzebami. W Polsce ponad dwa razy więcej nauczycieli niż w krajach TALIS (odpowiednio: 58%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26%) pracuje z</w:t>
      </w:r>
      <w:r>
        <w:rPr>
          <w:rFonts w:ascii="Arial" w:hAnsi="Arial" w:cs="Arial"/>
          <w:sz w:val="22"/>
          <w:szCs w:val="22"/>
        </w:rPr>
        <w:t> </w:t>
      </w:r>
      <w:r w:rsidRPr="009B438B">
        <w:rPr>
          <w:rFonts w:ascii="Arial" w:hAnsi="Arial" w:cs="Arial"/>
          <w:sz w:val="22"/>
          <w:szCs w:val="22"/>
        </w:rPr>
        <w:t>takimi uczniami. Może to świadczyć o wyższej świadomości tego zjawiska, ale też o szerokim zakresie definicji specjalnych potrzeb w Polsce.</w:t>
      </w:r>
    </w:p>
    <w:p w:rsidR="008800AB" w:rsidRDefault="008800AB" w:rsidP="00671150">
      <w:pPr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17157C" w:rsidRDefault="00EE3A4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9B438B" w:rsidRPr="009B438B">
        <w:rPr>
          <w:rFonts w:ascii="Arial" w:hAnsi="Arial" w:cs="Arial"/>
          <w:sz w:val="22"/>
          <w:szCs w:val="22"/>
        </w:rPr>
        <w:t>otrzeby doskonalenia</w:t>
      </w:r>
      <w:r>
        <w:rPr>
          <w:rFonts w:ascii="Arial" w:hAnsi="Arial" w:cs="Arial"/>
          <w:sz w:val="22"/>
          <w:szCs w:val="22"/>
        </w:rPr>
        <w:t>,</w:t>
      </w:r>
      <w:r w:rsidR="009B438B" w:rsidRPr="009B438B">
        <w:rPr>
          <w:rFonts w:ascii="Arial" w:hAnsi="Arial" w:cs="Arial"/>
          <w:sz w:val="22"/>
          <w:szCs w:val="22"/>
        </w:rPr>
        <w:t xml:space="preserve"> jakie zgłaszają nauczyciele</w:t>
      </w:r>
      <w:r w:rsidR="00DC2687">
        <w:rPr>
          <w:rFonts w:ascii="Arial" w:hAnsi="Arial" w:cs="Arial"/>
          <w:sz w:val="22"/>
          <w:szCs w:val="22"/>
        </w:rPr>
        <w:t>,</w:t>
      </w:r>
      <w:r w:rsidR="009B438B" w:rsidRPr="009B438B">
        <w:rPr>
          <w:rFonts w:ascii="Arial" w:hAnsi="Arial" w:cs="Arial"/>
          <w:sz w:val="22"/>
          <w:szCs w:val="22"/>
        </w:rPr>
        <w:t xml:space="preserve"> dotyczą przede wszystkim pracy z uczniami ze specjalnymi </w:t>
      </w:r>
      <w:r w:rsidR="00AD4E7A">
        <w:rPr>
          <w:rFonts w:ascii="Arial" w:hAnsi="Arial" w:cs="Arial"/>
          <w:sz w:val="22"/>
          <w:szCs w:val="22"/>
        </w:rPr>
        <w:t>potrzebami edukacyjnymi, klasą</w:t>
      </w:r>
      <w:r w:rsidR="009B438B" w:rsidRPr="009B438B">
        <w:rPr>
          <w:rFonts w:ascii="Arial" w:hAnsi="Arial" w:cs="Arial"/>
          <w:sz w:val="22"/>
          <w:szCs w:val="22"/>
        </w:rPr>
        <w:t xml:space="preserve"> oraz wykorzystania nowych technologii w miejscu pracy.</w:t>
      </w:r>
    </w:p>
    <w:p w:rsidR="0017157C" w:rsidRDefault="0017157C" w:rsidP="00671150">
      <w:pPr>
        <w:spacing w:line="276" w:lineRule="auto"/>
        <w:jc w:val="both"/>
        <w:rPr>
          <w:rFonts w:ascii="Arial" w:hAnsi="Arial" w:cs="Arial"/>
          <w:b/>
          <w:spacing w:val="-12"/>
          <w:sz w:val="20"/>
          <w:szCs w:val="22"/>
        </w:rPr>
      </w:pPr>
    </w:p>
    <w:p w:rsidR="009B438B" w:rsidRPr="00EA1A2B" w:rsidRDefault="009B438B" w:rsidP="00671150">
      <w:pPr>
        <w:spacing w:line="276" w:lineRule="auto"/>
        <w:rPr>
          <w:rFonts w:ascii="Arial" w:hAnsi="Arial" w:cs="Arial"/>
          <w:b/>
          <w:spacing w:val="-12"/>
          <w:sz w:val="20"/>
          <w:szCs w:val="22"/>
        </w:rPr>
      </w:pPr>
      <w:r w:rsidRPr="00EA1A2B">
        <w:rPr>
          <w:rFonts w:ascii="Arial" w:hAnsi="Arial" w:cs="Arial"/>
          <w:b/>
          <w:spacing w:val="-12"/>
          <w:sz w:val="20"/>
          <w:szCs w:val="22"/>
        </w:rPr>
        <w:t>Potrzeby w zakresie rozwoju zawodowego</w:t>
      </w:r>
      <w:r w:rsidR="00EA1A2B">
        <w:rPr>
          <w:rFonts w:ascii="Arial" w:hAnsi="Arial" w:cs="Arial"/>
          <w:b/>
          <w:spacing w:val="-12"/>
          <w:sz w:val="20"/>
          <w:szCs w:val="22"/>
        </w:rPr>
        <w:t xml:space="preserve"> - </w:t>
      </w:r>
      <w:r w:rsidRPr="00EA1A2B">
        <w:rPr>
          <w:rFonts w:ascii="Arial" w:hAnsi="Arial" w:cs="Arial"/>
          <w:b/>
          <w:spacing w:val="-12"/>
          <w:sz w:val="20"/>
          <w:szCs w:val="22"/>
        </w:rPr>
        <w:t>odsetek polskich nauczycieli deklarujących wysoki poziom potrzeb</w:t>
      </w:r>
    </w:p>
    <w:p w:rsidR="009B438B" w:rsidRPr="009B438B" w:rsidRDefault="00671150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5762625" cy="4171950"/>
            <wp:effectExtent l="19050" t="0" r="9525" b="0"/>
            <wp:docPr id="2" name="Obraz 4" descr="potrzeby_nauczyci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trzeby_nauczycie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8B" w:rsidRPr="009B438B" w:rsidRDefault="009B438B" w:rsidP="00671150">
      <w:pPr>
        <w:spacing w:line="276" w:lineRule="auto"/>
        <w:jc w:val="both"/>
        <w:rPr>
          <w:rFonts w:ascii="Arial" w:hAnsi="Arial" w:cs="Arial"/>
          <w:i/>
          <w:sz w:val="20"/>
          <w:szCs w:val="22"/>
        </w:rPr>
      </w:pPr>
    </w:p>
    <w:p w:rsidR="00EE3A44" w:rsidRDefault="00EE3A4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446B" w:rsidRDefault="0039446B" w:rsidP="00671150">
      <w:pPr>
        <w:spacing w:line="276" w:lineRule="auto"/>
        <w:rPr>
          <w:rFonts w:ascii="Arial" w:hAnsi="Arial" w:cs="Arial"/>
          <w:b/>
          <w:spacing w:val="-12"/>
          <w:sz w:val="20"/>
          <w:szCs w:val="22"/>
        </w:rPr>
      </w:pPr>
      <w:r>
        <w:rPr>
          <w:rFonts w:ascii="Arial" w:hAnsi="Arial" w:cs="Arial"/>
          <w:b/>
          <w:spacing w:val="-12"/>
          <w:sz w:val="20"/>
          <w:szCs w:val="22"/>
        </w:rPr>
        <w:lastRenderedPageBreak/>
        <w:t>P</w:t>
      </w:r>
      <w:r w:rsidRPr="00EA1A2B">
        <w:rPr>
          <w:rFonts w:ascii="Arial" w:hAnsi="Arial" w:cs="Arial"/>
          <w:b/>
          <w:spacing w:val="-12"/>
          <w:sz w:val="20"/>
          <w:szCs w:val="22"/>
        </w:rPr>
        <w:t xml:space="preserve">otrzeby </w:t>
      </w:r>
      <w:r w:rsidR="0017157C">
        <w:rPr>
          <w:rFonts w:ascii="Arial" w:hAnsi="Arial" w:cs="Arial"/>
          <w:b/>
          <w:spacing w:val="-12"/>
          <w:sz w:val="20"/>
          <w:szCs w:val="22"/>
        </w:rPr>
        <w:t xml:space="preserve">szkoleń polskich </w:t>
      </w:r>
      <w:r w:rsidR="00AD4E7A">
        <w:rPr>
          <w:rFonts w:ascii="Arial" w:hAnsi="Arial" w:cs="Arial"/>
          <w:b/>
          <w:spacing w:val="-12"/>
          <w:sz w:val="20"/>
          <w:szCs w:val="22"/>
        </w:rPr>
        <w:t xml:space="preserve">gimnazjalnych </w:t>
      </w:r>
      <w:r w:rsidR="0017157C">
        <w:rPr>
          <w:rFonts w:ascii="Arial" w:hAnsi="Arial" w:cs="Arial"/>
          <w:b/>
          <w:spacing w:val="-12"/>
          <w:sz w:val="20"/>
          <w:szCs w:val="22"/>
        </w:rPr>
        <w:t>nauczycieli w porównaniu do pozostałych</w:t>
      </w:r>
      <w:r w:rsidR="00AD4E7A">
        <w:rPr>
          <w:rFonts w:ascii="Arial" w:hAnsi="Arial" w:cs="Arial"/>
          <w:b/>
          <w:spacing w:val="-12"/>
          <w:sz w:val="20"/>
          <w:szCs w:val="22"/>
        </w:rPr>
        <w:t xml:space="preserve"> nauczycieli gimnazjalnych</w:t>
      </w:r>
      <w:r w:rsidR="0017157C">
        <w:rPr>
          <w:rFonts w:ascii="Arial" w:hAnsi="Arial" w:cs="Arial"/>
          <w:b/>
          <w:spacing w:val="-12"/>
          <w:sz w:val="20"/>
          <w:szCs w:val="22"/>
        </w:rPr>
        <w:t xml:space="preserve"> w badaniu TALIS</w:t>
      </w:r>
      <w:bookmarkStart w:id="0" w:name="_GoBack"/>
      <w:r w:rsidR="00671150">
        <w:rPr>
          <w:noProof/>
          <w:lang w:val="pl-PL" w:eastAsia="pl-PL"/>
        </w:rPr>
        <w:drawing>
          <wp:inline distT="0" distB="0" distL="0" distR="0">
            <wp:extent cx="5724525" cy="4048125"/>
            <wp:effectExtent l="0" t="0" r="0" b="0"/>
            <wp:docPr id="3" name="Wykre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E3A44" w:rsidRDefault="00EE3A4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157C" w:rsidRDefault="0017157C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Polsce w</w:t>
      </w:r>
      <w:r w:rsidRPr="009B438B">
        <w:rPr>
          <w:rFonts w:ascii="Arial" w:hAnsi="Arial" w:cs="Arial"/>
          <w:sz w:val="22"/>
          <w:szCs w:val="22"/>
        </w:rPr>
        <w:t>zrósł odsetek nauczycieli uczestniczących w różnych formach doskonalenia zawodowego (z</w:t>
      </w:r>
      <w:r>
        <w:rPr>
          <w:rFonts w:ascii="Arial" w:hAnsi="Arial" w:cs="Arial"/>
          <w:sz w:val="22"/>
          <w:szCs w:val="22"/>
        </w:rPr>
        <w:t> </w:t>
      </w:r>
      <w:r w:rsidRPr="009B438B">
        <w:rPr>
          <w:rFonts w:ascii="Arial" w:hAnsi="Arial" w:cs="Arial"/>
          <w:sz w:val="22"/>
          <w:szCs w:val="22"/>
        </w:rPr>
        <w:t xml:space="preserve">90 do 94%), głównie </w:t>
      </w:r>
      <w:r w:rsidR="00AD4E7A">
        <w:rPr>
          <w:rFonts w:ascii="Arial" w:hAnsi="Arial" w:cs="Arial"/>
          <w:sz w:val="22"/>
          <w:szCs w:val="22"/>
        </w:rPr>
        <w:t>wybierają przy tym szkolenia z</w:t>
      </w:r>
      <w:r w:rsidRPr="009B438B">
        <w:rPr>
          <w:rFonts w:ascii="Arial" w:hAnsi="Arial" w:cs="Arial"/>
          <w:sz w:val="22"/>
          <w:szCs w:val="22"/>
        </w:rPr>
        <w:t xml:space="preserve"> wiedzy przedmiotowej, kompetencji pedagogicznych, pracy z uczniami ze specjalnymi potrzebami edukacyjnymi, oceniania</w:t>
      </w:r>
      <w:r>
        <w:rPr>
          <w:rFonts w:ascii="Arial" w:hAnsi="Arial" w:cs="Arial"/>
          <w:sz w:val="22"/>
          <w:szCs w:val="22"/>
        </w:rPr>
        <w:t> i </w:t>
      </w:r>
      <w:r w:rsidRPr="009B438B">
        <w:rPr>
          <w:rFonts w:ascii="Arial" w:hAnsi="Arial" w:cs="Arial"/>
          <w:sz w:val="22"/>
          <w:szCs w:val="22"/>
        </w:rPr>
        <w:t xml:space="preserve">programu nauczania. </w:t>
      </w:r>
      <w:r w:rsidR="00AD4E7A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ednak nauczyciele korzyści z udziału w tych zajęciach oceniają </w:t>
      </w:r>
      <w:r w:rsidRPr="009B438B">
        <w:rPr>
          <w:rFonts w:ascii="Arial" w:hAnsi="Arial" w:cs="Arial"/>
          <w:sz w:val="22"/>
          <w:szCs w:val="22"/>
        </w:rPr>
        <w:t xml:space="preserve">raczej </w:t>
      </w:r>
      <w:r w:rsidR="000E0C08">
        <w:rPr>
          <w:rFonts w:ascii="Arial" w:hAnsi="Arial" w:cs="Arial"/>
          <w:sz w:val="22"/>
          <w:szCs w:val="22"/>
        </w:rPr>
        <w:t>krytycznie</w:t>
      </w:r>
      <w:r>
        <w:rPr>
          <w:rFonts w:ascii="Arial" w:hAnsi="Arial" w:cs="Arial"/>
          <w:sz w:val="22"/>
          <w:szCs w:val="22"/>
        </w:rPr>
        <w:t xml:space="preserve">, </w:t>
      </w:r>
      <w:r w:rsidRPr="009B438B">
        <w:rPr>
          <w:rFonts w:ascii="Arial" w:hAnsi="Arial" w:cs="Arial"/>
          <w:sz w:val="22"/>
          <w:szCs w:val="22"/>
        </w:rPr>
        <w:t xml:space="preserve">ich wpływ na sposób nauczania </w:t>
      </w:r>
      <w:r>
        <w:rPr>
          <w:rFonts w:ascii="Arial" w:hAnsi="Arial" w:cs="Arial"/>
          <w:sz w:val="22"/>
          <w:szCs w:val="22"/>
        </w:rPr>
        <w:t xml:space="preserve">określiło jako </w:t>
      </w:r>
      <w:r w:rsidR="00ED732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u</w:t>
      </w:r>
      <w:r w:rsidRPr="009B438B">
        <w:rPr>
          <w:rFonts w:ascii="Arial" w:hAnsi="Arial" w:cs="Arial"/>
          <w:sz w:val="22"/>
          <w:szCs w:val="22"/>
        </w:rPr>
        <w:t>miarkowany”, w zależności od obszaru, od 44% do 58% osób.</w:t>
      </w:r>
    </w:p>
    <w:p w:rsidR="00E72E5F" w:rsidRDefault="00E72E5F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446B" w:rsidRPr="0039446B" w:rsidRDefault="0039446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9446B">
        <w:rPr>
          <w:rFonts w:ascii="Arial" w:hAnsi="Arial" w:cs="Arial"/>
          <w:b/>
          <w:sz w:val="22"/>
          <w:szCs w:val="22"/>
        </w:rPr>
        <w:t>Lepsi w dyscyplinie niż wspieraniu uczniów</w:t>
      </w:r>
    </w:p>
    <w:p w:rsidR="0039446B" w:rsidRDefault="0039446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B438B" w:rsidRPr="0039446B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46B">
        <w:rPr>
          <w:rFonts w:ascii="Arial" w:hAnsi="Arial" w:cs="Arial"/>
          <w:sz w:val="22"/>
          <w:szCs w:val="22"/>
        </w:rPr>
        <w:t>Zdecydowana większość nauczycieli uważa, że w procesie nauczania ważniejsze jest samo wyciąganie wniosków</w:t>
      </w:r>
      <w:r w:rsidR="001D1AF8" w:rsidRPr="0039446B">
        <w:rPr>
          <w:rFonts w:ascii="Arial" w:hAnsi="Arial" w:cs="Arial"/>
          <w:sz w:val="22"/>
          <w:szCs w:val="22"/>
        </w:rPr>
        <w:t xml:space="preserve"> </w:t>
      </w:r>
      <w:r w:rsidR="00180760" w:rsidRPr="0039446B">
        <w:rPr>
          <w:rFonts w:ascii="Arial" w:hAnsi="Arial" w:cs="Arial"/>
          <w:sz w:val="22"/>
          <w:szCs w:val="22"/>
        </w:rPr>
        <w:t>i </w:t>
      </w:r>
      <w:r w:rsidRPr="0039446B">
        <w:rPr>
          <w:rFonts w:ascii="Arial" w:hAnsi="Arial" w:cs="Arial"/>
          <w:sz w:val="22"/>
          <w:szCs w:val="22"/>
        </w:rPr>
        <w:t>rozumowanie niż nabycie konkretnej wiedzy</w:t>
      </w:r>
      <w:r w:rsidR="0039446B" w:rsidRPr="0039446B">
        <w:rPr>
          <w:rFonts w:ascii="Arial" w:hAnsi="Arial" w:cs="Arial"/>
          <w:sz w:val="22"/>
          <w:szCs w:val="22"/>
        </w:rPr>
        <w:t xml:space="preserve">. </w:t>
      </w:r>
      <w:r w:rsidR="00180760" w:rsidRPr="0039446B">
        <w:rPr>
          <w:rFonts w:ascii="Arial" w:hAnsi="Arial" w:cs="Arial"/>
          <w:sz w:val="22"/>
          <w:szCs w:val="22"/>
        </w:rPr>
        <w:t xml:space="preserve">Aż </w:t>
      </w:r>
      <w:r w:rsidRPr="0039446B">
        <w:rPr>
          <w:rFonts w:ascii="Arial" w:hAnsi="Arial" w:cs="Arial"/>
          <w:sz w:val="22"/>
          <w:szCs w:val="22"/>
        </w:rPr>
        <w:t xml:space="preserve">94% polskich nauczycieli uważa, że w procesie nauczania należy pozwalać uczniom na samodzielne rozwiązywanie zadań, a rolą nauczyciela jest ułatwianie im własnych dociekań. </w:t>
      </w:r>
    </w:p>
    <w:p w:rsidR="009B438B" w:rsidRPr="009B438B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86FEA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Rzadziej jednak niż nauczyciele z innych krajów stosują oni techniki angażujące uczniów, takie j</w:t>
      </w:r>
      <w:r w:rsidR="0011742D">
        <w:rPr>
          <w:rFonts w:ascii="Arial" w:hAnsi="Arial" w:cs="Arial"/>
          <w:sz w:val="22"/>
          <w:szCs w:val="22"/>
        </w:rPr>
        <w:t>ak praca w małych grupach (42%)</w:t>
      </w:r>
      <w:r w:rsidRPr="009B438B">
        <w:rPr>
          <w:rFonts w:ascii="Arial" w:hAnsi="Arial" w:cs="Arial"/>
          <w:sz w:val="22"/>
          <w:szCs w:val="22"/>
        </w:rPr>
        <w:t xml:space="preserve"> czy dłuższe projekty (16%).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86FEA" w:rsidRDefault="00486FEA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46D9" w:rsidRPr="005746D9" w:rsidRDefault="005746D9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6D9">
        <w:rPr>
          <w:rFonts w:ascii="Arial" w:hAnsi="Arial" w:cs="Arial"/>
          <w:sz w:val="22"/>
          <w:szCs w:val="22"/>
        </w:rPr>
        <w:t>Po</w:t>
      </w:r>
      <w:r w:rsidR="00ED7325">
        <w:rPr>
          <w:rFonts w:ascii="Arial" w:hAnsi="Arial" w:cs="Arial"/>
          <w:sz w:val="22"/>
          <w:szCs w:val="22"/>
        </w:rPr>
        <w:t>lscy</w:t>
      </w:r>
      <w:r w:rsidRPr="005746D9">
        <w:rPr>
          <w:rFonts w:ascii="Arial" w:hAnsi="Arial" w:cs="Arial"/>
          <w:sz w:val="22"/>
          <w:szCs w:val="22"/>
        </w:rPr>
        <w:t xml:space="preserve"> nauczyciele pytani o to, jak skutecznie rozwiązują pewne problemy, </w:t>
      </w:r>
      <w:r w:rsidR="00ED7325">
        <w:rPr>
          <w:rFonts w:ascii="Arial" w:hAnsi="Arial" w:cs="Arial"/>
          <w:sz w:val="22"/>
          <w:szCs w:val="22"/>
        </w:rPr>
        <w:t xml:space="preserve">na ile </w:t>
      </w:r>
      <w:r w:rsidRPr="005746D9">
        <w:rPr>
          <w:rFonts w:ascii="Arial" w:hAnsi="Arial" w:cs="Arial"/>
          <w:sz w:val="22"/>
          <w:szCs w:val="22"/>
        </w:rPr>
        <w:t>potrafią zainter</w:t>
      </w:r>
      <w:r w:rsidR="00CC5F57">
        <w:rPr>
          <w:rFonts w:ascii="Arial" w:hAnsi="Arial" w:cs="Arial"/>
          <w:sz w:val="22"/>
          <w:szCs w:val="22"/>
        </w:rPr>
        <w:t>e</w:t>
      </w:r>
      <w:r w:rsidRPr="005746D9">
        <w:rPr>
          <w:rFonts w:ascii="Arial" w:hAnsi="Arial" w:cs="Arial"/>
          <w:sz w:val="22"/>
          <w:szCs w:val="22"/>
        </w:rPr>
        <w:t xml:space="preserve">sować uczniów i ich wesprzeć, </w:t>
      </w:r>
      <w:r w:rsidR="00ED7325">
        <w:rPr>
          <w:rFonts w:ascii="Arial" w:hAnsi="Arial" w:cs="Arial"/>
          <w:sz w:val="22"/>
          <w:szCs w:val="22"/>
        </w:rPr>
        <w:t xml:space="preserve">czy </w:t>
      </w:r>
      <w:r w:rsidRPr="005746D9">
        <w:rPr>
          <w:rFonts w:ascii="Arial" w:hAnsi="Arial" w:cs="Arial"/>
          <w:sz w:val="22"/>
          <w:szCs w:val="22"/>
        </w:rPr>
        <w:t xml:space="preserve">urozmaicają formy lekcji – wypadają gorzej od swoich kolegów z innych krajów. </w:t>
      </w:r>
    </w:p>
    <w:p w:rsidR="005746D9" w:rsidRDefault="005746D9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D4E7A" w:rsidRDefault="00AD4E7A" w:rsidP="0067115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 w:type="page"/>
      </w:r>
    </w:p>
    <w:p w:rsidR="00486FEA" w:rsidRPr="00940D90" w:rsidRDefault="00486FEA" w:rsidP="006711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40D90">
        <w:rPr>
          <w:rFonts w:ascii="Arial" w:hAnsi="Arial" w:cs="Arial"/>
          <w:b/>
          <w:sz w:val="20"/>
          <w:szCs w:val="20"/>
        </w:rPr>
        <w:lastRenderedPageBreak/>
        <w:t xml:space="preserve">W jakim stopniu </w:t>
      </w:r>
      <w:r w:rsidR="009E27A4">
        <w:rPr>
          <w:rFonts w:ascii="Arial" w:hAnsi="Arial" w:cs="Arial"/>
          <w:b/>
          <w:sz w:val="20"/>
          <w:szCs w:val="20"/>
        </w:rPr>
        <w:t xml:space="preserve">w swojej pracy dydaktycznej </w:t>
      </w:r>
      <w:r w:rsidRPr="00940D90">
        <w:rPr>
          <w:rFonts w:ascii="Arial" w:hAnsi="Arial" w:cs="Arial"/>
          <w:b/>
          <w:sz w:val="20"/>
          <w:szCs w:val="20"/>
        </w:rPr>
        <w:t>udaje</w:t>
      </w:r>
      <w:r w:rsidR="009E27A4">
        <w:rPr>
          <w:rFonts w:ascii="Arial" w:hAnsi="Arial" w:cs="Arial"/>
          <w:b/>
          <w:sz w:val="20"/>
          <w:szCs w:val="20"/>
        </w:rPr>
        <w:t xml:space="preserve"> się</w:t>
      </w:r>
      <w:r w:rsidRPr="00940D90">
        <w:rPr>
          <w:rFonts w:ascii="Arial" w:hAnsi="Arial" w:cs="Arial"/>
          <w:b/>
          <w:sz w:val="20"/>
          <w:szCs w:val="20"/>
        </w:rPr>
        <w:t xml:space="preserve"> </w:t>
      </w:r>
      <w:r w:rsidR="009E27A4">
        <w:rPr>
          <w:rFonts w:ascii="Arial" w:hAnsi="Arial" w:cs="Arial"/>
          <w:b/>
          <w:sz w:val="20"/>
          <w:szCs w:val="20"/>
        </w:rPr>
        <w:t>Pani/Panu</w:t>
      </w:r>
      <w:r w:rsidRPr="00940D90">
        <w:rPr>
          <w:rFonts w:ascii="Arial" w:hAnsi="Arial" w:cs="Arial"/>
          <w:b/>
          <w:sz w:val="20"/>
          <w:szCs w:val="20"/>
        </w:rPr>
        <w:t>.....</w:t>
      </w:r>
    </w:p>
    <w:p w:rsidR="00486FEA" w:rsidRDefault="00671150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/>
        </w:rPr>
        <w:drawing>
          <wp:inline distT="0" distB="0" distL="0" distR="0">
            <wp:extent cx="5247894" cy="4008882"/>
            <wp:effectExtent l="0" t="0" r="381" b="1143"/>
            <wp:docPr id="4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224F" w:rsidRDefault="00BA224F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224F" w:rsidRPr="00BA224F" w:rsidRDefault="00BA224F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224F">
        <w:rPr>
          <w:rFonts w:ascii="Arial" w:hAnsi="Arial" w:cs="Arial"/>
          <w:sz w:val="22"/>
          <w:szCs w:val="22"/>
        </w:rPr>
        <w:t xml:space="preserve">Na tle nauczycieli z innych krajów polscy gorzej oceniają swoją skuteczność w motywowaniu uczniów i uczeniu krytycznego myślenia. </w:t>
      </w:r>
    </w:p>
    <w:p w:rsidR="00BA224F" w:rsidRDefault="00BA224F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224F" w:rsidRDefault="00671150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248275" cy="4095750"/>
            <wp:effectExtent l="19050" t="0" r="9525" b="0"/>
            <wp:docPr id="5" name="Wykres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7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4F" w:rsidRDefault="00BA224F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224F" w:rsidRDefault="00671150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val="pl-PL" w:eastAsia="pl-PL"/>
        </w:rPr>
        <w:drawing>
          <wp:inline distT="0" distB="0" distL="0" distR="0">
            <wp:extent cx="5238750" cy="3933825"/>
            <wp:effectExtent l="0" t="0" r="0" b="0"/>
            <wp:docPr id="6" name="Wykres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446B" w:rsidRDefault="0039446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9446B" w:rsidRDefault="00671150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238750" cy="5086350"/>
            <wp:effectExtent l="19050" t="0" r="0" b="0"/>
            <wp:docPr id="7" name="Wykres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6"/>
                    <pic:cNvPicPr>
                      <a:picLocks noChangeArrowheads="1"/>
                    </pic:cNvPicPr>
                  </pic:nvPicPr>
                  <pic:blipFill>
                    <a:blip r:embed="rId14"/>
                    <a:srcRect r="-49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6B" w:rsidRDefault="0039446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9446B" w:rsidRDefault="0039446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C5F57" w:rsidRDefault="00CC5F57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 xml:space="preserve">Jednocześnie polscy nauczyciele </w:t>
      </w:r>
      <w:r>
        <w:rPr>
          <w:rFonts w:ascii="Arial" w:hAnsi="Arial" w:cs="Arial"/>
          <w:sz w:val="22"/>
          <w:szCs w:val="22"/>
        </w:rPr>
        <w:t xml:space="preserve">w </w:t>
      </w:r>
      <w:r w:rsidRPr="009B438B">
        <w:rPr>
          <w:rFonts w:ascii="Arial" w:hAnsi="Arial" w:cs="Arial"/>
          <w:sz w:val="22"/>
          <w:szCs w:val="22"/>
        </w:rPr>
        <w:t>mniejszym stopniu niż nauczyciele z innych krajów zainteresowani są dobrym samopoczuciem uczniów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mniej interesują się tym, co uczniowie mają do powiedzenia.</w:t>
      </w:r>
      <w:r>
        <w:rPr>
          <w:rFonts w:ascii="Arial" w:hAnsi="Arial" w:cs="Arial"/>
          <w:sz w:val="22"/>
          <w:szCs w:val="22"/>
        </w:rPr>
        <w:t xml:space="preserve"> Zarazem lepiej oceniają </w:t>
      </w:r>
      <w:r w:rsidRPr="009B438B">
        <w:rPr>
          <w:rFonts w:ascii="Arial" w:hAnsi="Arial" w:cs="Arial"/>
          <w:sz w:val="22"/>
          <w:szCs w:val="22"/>
        </w:rPr>
        <w:t>swoją skuteczność w zakresie utrzymywania dyscypliny</w:t>
      </w:r>
      <w:r>
        <w:rPr>
          <w:rFonts w:ascii="Arial" w:hAnsi="Arial" w:cs="Arial"/>
          <w:sz w:val="22"/>
          <w:szCs w:val="22"/>
        </w:rPr>
        <w:br/>
      </w:r>
      <w:r w:rsidRPr="009B438B">
        <w:rPr>
          <w:rFonts w:ascii="Arial" w:hAnsi="Arial" w:cs="Arial"/>
          <w:sz w:val="22"/>
          <w:szCs w:val="22"/>
        </w:rPr>
        <w:t>w klasie (88%)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poświęcają na to najmniej czasu lekcyjnego spośród nauczycieli badanych w</w:t>
      </w:r>
      <w:r>
        <w:rPr>
          <w:rFonts w:ascii="Arial" w:hAnsi="Arial" w:cs="Arial"/>
          <w:sz w:val="22"/>
          <w:szCs w:val="22"/>
        </w:rPr>
        <w:t> </w:t>
      </w:r>
      <w:r w:rsidRPr="009B438B">
        <w:rPr>
          <w:rFonts w:ascii="Arial" w:hAnsi="Arial" w:cs="Arial"/>
          <w:sz w:val="22"/>
          <w:szCs w:val="22"/>
        </w:rPr>
        <w:t>innych krajach (8%, średnia TALIS: 13%).</w:t>
      </w:r>
    </w:p>
    <w:p w:rsidR="00CC5F57" w:rsidRDefault="00CC5F57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5F57" w:rsidRDefault="00CC5F57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 xml:space="preserve"> </w:t>
      </w:r>
    </w:p>
    <w:p w:rsidR="00854737" w:rsidRDefault="00854737" w:rsidP="0067115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C5F57" w:rsidRDefault="009E27A4" w:rsidP="00940D9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1079">
        <w:rPr>
          <w:rFonts w:ascii="Arial" w:hAnsi="Arial" w:cs="Arial"/>
          <w:b/>
          <w:sz w:val="20"/>
          <w:szCs w:val="20"/>
        </w:rPr>
        <w:lastRenderedPageBreak/>
        <w:t xml:space="preserve">W jakim stopniu </w:t>
      </w:r>
      <w:r>
        <w:rPr>
          <w:rFonts w:ascii="Arial" w:hAnsi="Arial" w:cs="Arial"/>
          <w:b/>
          <w:sz w:val="20"/>
          <w:szCs w:val="20"/>
        </w:rPr>
        <w:t xml:space="preserve">w swojej pracy dydaktycznej </w:t>
      </w:r>
      <w:r w:rsidRPr="00641079">
        <w:rPr>
          <w:rFonts w:ascii="Arial" w:hAnsi="Arial" w:cs="Arial"/>
          <w:b/>
          <w:sz w:val="20"/>
          <w:szCs w:val="20"/>
        </w:rPr>
        <w:t>udaje</w:t>
      </w:r>
      <w:r>
        <w:rPr>
          <w:rFonts w:ascii="Arial" w:hAnsi="Arial" w:cs="Arial"/>
          <w:b/>
          <w:sz w:val="20"/>
          <w:szCs w:val="20"/>
        </w:rPr>
        <w:t xml:space="preserve"> się</w:t>
      </w:r>
      <w:r w:rsidRPr="006410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Pani/Panu</w:t>
      </w:r>
      <w:r w:rsidRPr="00641079">
        <w:rPr>
          <w:rFonts w:ascii="Arial" w:hAnsi="Arial" w:cs="Arial"/>
          <w:b/>
          <w:sz w:val="20"/>
          <w:szCs w:val="20"/>
        </w:rPr>
        <w:t>.....</w:t>
      </w:r>
      <w:r w:rsidR="00671150">
        <w:rPr>
          <w:noProof/>
          <w:lang w:val="pl-PL" w:eastAsia="pl-PL"/>
        </w:rPr>
        <w:drawing>
          <wp:inline distT="0" distB="0" distL="0" distR="0">
            <wp:extent cx="5724525" cy="4772025"/>
            <wp:effectExtent l="19050" t="0" r="9525" b="0"/>
            <wp:docPr id="8" name="Wykres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9"/>
                    <pic:cNvPicPr>
                      <a:picLocks noChangeArrowheads="1"/>
                    </pic:cNvPicPr>
                  </pic:nvPicPr>
                  <pic:blipFill>
                    <a:blip r:embed="rId15"/>
                    <a:srcRect r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57" w:rsidRDefault="00CC5F57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B438B" w:rsidRPr="009B438B" w:rsidRDefault="009B438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0AB" w:rsidRPr="009B438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0AB" w:rsidRDefault="00CC5F57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Polscy nauczyciele lubią swoją pracę</w:t>
      </w:r>
    </w:p>
    <w:p w:rsidR="008800AB" w:rsidRPr="009B438B" w:rsidRDefault="008800AB" w:rsidP="0067115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800A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Polscy nauczyciele gimnazjalni ogólnie są zadowoleni ze swojej pracy, przy czym wyniki wskazują, że więcej satysfakcji czerpią z pracy w szkole, w której uczą, niż z zawodu jako takiego.</w:t>
      </w:r>
    </w:p>
    <w:p w:rsidR="008800AB" w:rsidRPr="009B438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00A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 xml:space="preserve">Aż 90% zgadza się lub zdecydowanie zgadza ze stwierdzeniem, że lubi pracę w swojej szkole, 85% poleciłoby ją jako dobre miejsce pracy, a jedynie 17% zgadza się lub zdecydowanie zgadza ze stwierdzeniem, że chciałoby zmienić szkołę, gdyby było to możliwe. Nauczyciele są </w:t>
      </w:r>
      <w:r w:rsidRPr="00175F83">
        <w:rPr>
          <w:rFonts w:ascii="Arial" w:hAnsi="Arial" w:cs="Arial"/>
          <w:sz w:val="22"/>
          <w:szCs w:val="22"/>
        </w:rPr>
        <w:t>też zadowoleni z jakości swojej pracy – odpowiedź taką wskazało 93% badanych nauczycieli gimnazjum. Różnice w stosunku do międzynarodowej średniej widać jedynie w pytaniu o</w:t>
      </w:r>
      <w:r>
        <w:rPr>
          <w:rFonts w:ascii="Arial" w:hAnsi="Arial" w:cs="Arial"/>
          <w:sz w:val="22"/>
          <w:szCs w:val="22"/>
        </w:rPr>
        <w:t> </w:t>
      </w:r>
      <w:r w:rsidRPr="00175F83">
        <w:rPr>
          <w:rFonts w:ascii="Arial" w:hAnsi="Arial" w:cs="Arial"/>
          <w:sz w:val="22"/>
          <w:szCs w:val="22"/>
        </w:rPr>
        <w:t>potencjalną zmianę szkoły</w:t>
      </w:r>
      <w:r w:rsidRPr="009B438B">
        <w:rPr>
          <w:rFonts w:ascii="Arial" w:hAnsi="Arial" w:cs="Arial"/>
          <w:sz w:val="22"/>
          <w:szCs w:val="22"/>
        </w:rPr>
        <w:t>, w której pracują – międzynarodowa średnia wyniosła tutaj 21%.</w:t>
      </w:r>
    </w:p>
    <w:p w:rsidR="008800AB" w:rsidRPr="009B438B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1150" w:rsidRDefault="008800AB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 xml:space="preserve">Mimo zadowolenia z wykonywanej pracy ponad 2/3 nauczycieli jako największe problemy wskazuje przeciążenie pracą, niepewność zatrudnienia, niski prestiż zawodu, a czterech na pięciu </w:t>
      </w:r>
      <w:r>
        <w:rPr>
          <w:rFonts w:ascii="Arial" w:hAnsi="Arial" w:cs="Arial"/>
          <w:sz w:val="22"/>
          <w:szCs w:val="22"/>
        </w:rPr>
        <w:t xml:space="preserve">– </w:t>
      </w:r>
      <w:r w:rsidR="00671150">
        <w:rPr>
          <w:rFonts w:ascii="Arial" w:hAnsi="Arial" w:cs="Arial"/>
          <w:sz w:val="22"/>
          <w:szCs w:val="22"/>
        </w:rPr>
        <w:t>niesatysfakcjonujące zarobki</w:t>
      </w:r>
    </w:p>
    <w:p w:rsidR="00671150" w:rsidRDefault="00671150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2554" w:rsidRPr="00671150" w:rsidRDefault="008F255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b/>
          <w:sz w:val="22"/>
          <w:szCs w:val="22"/>
        </w:rPr>
        <w:lastRenderedPageBreak/>
        <w:t>Kogo</w:t>
      </w:r>
      <w:r>
        <w:rPr>
          <w:rFonts w:ascii="Arial" w:hAnsi="Arial" w:cs="Arial"/>
          <w:b/>
          <w:sz w:val="22"/>
          <w:szCs w:val="22"/>
        </w:rPr>
        <w:t xml:space="preserve"> i </w:t>
      </w:r>
      <w:r w:rsidRPr="009B438B">
        <w:rPr>
          <w:rFonts w:ascii="Arial" w:hAnsi="Arial" w:cs="Arial"/>
          <w:b/>
          <w:sz w:val="22"/>
          <w:szCs w:val="22"/>
        </w:rPr>
        <w:t>jak badano?</w:t>
      </w:r>
    </w:p>
    <w:p w:rsidR="008F2554" w:rsidRDefault="008F255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Badanie objęło ponad 170 tysięcy nauczycieli z 34 krajów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regionów z całego świata. W Polsce w badaniu wzięli udział nauczyciele przedmiotów ogólnokształcących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zawodowych pracujący w szkołach podstawowych, gimnazjalnych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ponadgimnazjalnych dla dzieci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młodzieży. Łącznie ponad 10</w:t>
      </w:r>
      <w:r>
        <w:rPr>
          <w:rFonts w:ascii="Arial" w:hAnsi="Arial" w:cs="Arial"/>
          <w:sz w:val="22"/>
          <w:szCs w:val="22"/>
        </w:rPr>
        <w:t xml:space="preserve"> </w:t>
      </w:r>
      <w:r w:rsidRPr="009B438B">
        <w:rPr>
          <w:rFonts w:ascii="Arial" w:hAnsi="Arial" w:cs="Arial"/>
          <w:sz w:val="22"/>
          <w:szCs w:val="22"/>
        </w:rPr>
        <w:t>000 nauczycieli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ponad 500 dyrektorów szkół, w tym 3</w:t>
      </w:r>
      <w:r>
        <w:rPr>
          <w:rFonts w:ascii="Arial" w:hAnsi="Arial" w:cs="Arial"/>
          <w:sz w:val="22"/>
          <w:szCs w:val="22"/>
        </w:rPr>
        <w:t xml:space="preserve"> </w:t>
      </w:r>
      <w:r w:rsidRPr="009B438B">
        <w:rPr>
          <w:rFonts w:ascii="Arial" w:hAnsi="Arial" w:cs="Arial"/>
          <w:sz w:val="22"/>
          <w:szCs w:val="22"/>
        </w:rPr>
        <w:t>858 nauczycieli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195 dyrektorów gimnazjów. Losowy dobór szkół umożliwił wnioskowanie o sytuacji wszystkich szkół w krajach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regionach uczestniczących w badaniu.</w:t>
      </w:r>
    </w:p>
    <w:p w:rsidR="008F2554" w:rsidRPr="009B438B" w:rsidRDefault="008F255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2554" w:rsidRDefault="008F2554" w:rsidP="006711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438B">
        <w:rPr>
          <w:rFonts w:ascii="Arial" w:hAnsi="Arial" w:cs="Arial"/>
          <w:sz w:val="22"/>
          <w:szCs w:val="22"/>
        </w:rPr>
        <w:t>Badanie TALIS 2013 w Polsce, tak jak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poprzednie, było</w:t>
      </w:r>
      <w:r>
        <w:rPr>
          <w:rFonts w:ascii="Arial" w:hAnsi="Arial" w:cs="Arial"/>
          <w:sz w:val="22"/>
          <w:szCs w:val="22"/>
        </w:rPr>
        <w:t xml:space="preserve"> </w:t>
      </w:r>
      <w:r w:rsidRPr="009B438B">
        <w:rPr>
          <w:rFonts w:ascii="Arial" w:hAnsi="Arial" w:cs="Arial"/>
          <w:sz w:val="22"/>
          <w:szCs w:val="22"/>
        </w:rPr>
        <w:t xml:space="preserve">koordynowane przez Instytut Badań Edukacyjnych. </w:t>
      </w:r>
      <w:r w:rsidRPr="00175F83">
        <w:rPr>
          <w:rFonts w:ascii="Arial" w:hAnsi="Arial" w:cs="Arial"/>
          <w:sz w:val="22"/>
          <w:szCs w:val="22"/>
        </w:rPr>
        <w:t>Decyzje dotyczące udziału w badaniu podejmowane były przez rządy krajów uczestniczącyh – w przypadku Polski przez Ministerstwo Edukacji Narodowej, ono też częściowo finansowało badanie.</w:t>
      </w:r>
      <w:r>
        <w:rPr>
          <w:rFonts w:ascii="Arial" w:hAnsi="Arial" w:cs="Arial"/>
          <w:sz w:val="22"/>
          <w:szCs w:val="22"/>
        </w:rPr>
        <w:t xml:space="preserve"> </w:t>
      </w:r>
      <w:r w:rsidRPr="009B438B">
        <w:rPr>
          <w:rFonts w:ascii="Arial" w:hAnsi="Arial" w:cs="Arial"/>
          <w:sz w:val="22"/>
          <w:szCs w:val="22"/>
        </w:rPr>
        <w:t>Na poziomie międzynarodowym projekt był wdrażany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koordynowany przez Centrum Badań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Przetwarzania Danych (Data Processing and Research Center, DPC) przy IEA (International Association for the Evaluation of Educational Achievement), a całkowita odpowiedzialność za badanie TALIS spoczywała na Sekretariacie OECD</w:t>
      </w:r>
      <w:r>
        <w:rPr>
          <w:rFonts w:ascii="Arial" w:hAnsi="Arial" w:cs="Arial"/>
          <w:sz w:val="22"/>
          <w:szCs w:val="22"/>
        </w:rPr>
        <w:t xml:space="preserve"> i </w:t>
      </w:r>
      <w:r w:rsidRPr="009B438B">
        <w:rPr>
          <w:rFonts w:ascii="Arial" w:hAnsi="Arial" w:cs="Arial"/>
          <w:sz w:val="22"/>
          <w:szCs w:val="22"/>
        </w:rPr>
        <w:t>Radzie Zarządzającej Programem TALIS.</w:t>
      </w:r>
    </w:p>
    <w:p w:rsidR="008F2554" w:rsidRDefault="008F2554" w:rsidP="00671150">
      <w:pPr>
        <w:pStyle w:val="txt"/>
        <w:spacing w:line="276" w:lineRule="auto"/>
        <w:rPr>
          <w:b/>
          <w:sz w:val="18"/>
          <w:szCs w:val="22"/>
          <w:u w:val="single"/>
        </w:rPr>
      </w:pPr>
    </w:p>
    <w:p w:rsidR="00CC5F57" w:rsidRPr="009B438B" w:rsidRDefault="00CC5F57" w:rsidP="00671150">
      <w:pPr>
        <w:pStyle w:val="t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Pe</w:t>
      </w:r>
      <w:r w:rsidRPr="009B438B">
        <w:rPr>
          <w:sz w:val="22"/>
          <w:szCs w:val="22"/>
        </w:rPr>
        <w:t>łna wersja Międzynarodowego Badania Nauczania</w:t>
      </w:r>
      <w:r>
        <w:rPr>
          <w:sz w:val="22"/>
          <w:szCs w:val="22"/>
        </w:rPr>
        <w:t xml:space="preserve"> i </w:t>
      </w:r>
      <w:r w:rsidRPr="009B438B">
        <w:rPr>
          <w:sz w:val="22"/>
          <w:szCs w:val="22"/>
        </w:rPr>
        <w:t>Uczenia się (TALIS 2013)</w:t>
      </w:r>
      <w:r>
        <w:rPr>
          <w:sz w:val="22"/>
          <w:szCs w:val="22"/>
        </w:rPr>
        <w:t xml:space="preserve"> </w:t>
      </w:r>
      <w:r w:rsidRPr="009B438B">
        <w:rPr>
          <w:sz w:val="22"/>
          <w:szCs w:val="22"/>
        </w:rPr>
        <w:t xml:space="preserve">dostępna jest na stronie internetowej Entuzjastów Edukacji: </w:t>
      </w:r>
      <w:hyperlink r:id="rId16" w:history="1">
        <w:r w:rsidRPr="009B438B">
          <w:rPr>
            <w:rStyle w:val="Hipercze"/>
            <w:sz w:val="22"/>
            <w:szCs w:val="22"/>
          </w:rPr>
          <w:t>www.eduentuzjasci.pl</w:t>
        </w:r>
      </w:hyperlink>
    </w:p>
    <w:p w:rsidR="00CC5F57" w:rsidRPr="009B438B" w:rsidRDefault="00CC5F57" w:rsidP="00671150">
      <w:pPr>
        <w:pStyle w:val="txt"/>
        <w:spacing w:line="276" w:lineRule="auto"/>
        <w:rPr>
          <w:i/>
          <w:sz w:val="22"/>
          <w:szCs w:val="22"/>
        </w:rPr>
      </w:pPr>
    </w:p>
    <w:p w:rsidR="00C872F5" w:rsidRPr="009B438B" w:rsidRDefault="00C872F5" w:rsidP="00671150">
      <w:pPr>
        <w:pStyle w:val="txt"/>
        <w:spacing w:line="276" w:lineRule="auto"/>
        <w:rPr>
          <w:b/>
          <w:sz w:val="18"/>
          <w:szCs w:val="22"/>
          <w:u w:val="single"/>
        </w:rPr>
      </w:pPr>
      <w:r w:rsidRPr="009B438B">
        <w:rPr>
          <w:b/>
          <w:sz w:val="18"/>
          <w:szCs w:val="22"/>
          <w:u w:val="single"/>
        </w:rPr>
        <w:t>Informacja o Instytucie Badań Edukacyjnych:</w:t>
      </w:r>
    </w:p>
    <w:p w:rsidR="00C872F5" w:rsidRPr="009B438B" w:rsidRDefault="00C872F5" w:rsidP="00671150">
      <w:pPr>
        <w:pStyle w:val="txt"/>
        <w:spacing w:line="276" w:lineRule="auto"/>
        <w:rPr>
          <w:sz w:val="18"/>
          <w:szCs w:val="22"/>
        </w:rPr>
      </w:pPr>
      <w:r w:rsidRPr="009B438B">
        <w:rPr>
          <w:sz w:val="18"/>
          <w:szCs w:val="22"/>
        </w:rPr>
        <w:t>Instytut Badań Edukacyjnych (IBE) zatrudnia około 150 badaczy zajmujących się edukacją – socjologów, psychologów, pedagogów, ekonomistów, politologów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przedstawicieli innych dyscyplin naukowych – wybitnych specjalistów w swoich dziedzinach. Instytut uczestniczy w krajowych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międzynarodowych projektach badawczych, przygotowuje raporty, sporządza ekspertyzy oraz pełni funkcje doradcze w tym zakresie, aktywnie promuje politykę edukacyjną opartą na faktach (evidence-based policy and practice)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szczególnie dużą wagę przywiązuje do badań, których wyniki mogą zostać wykorzystane w praktyce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polityce edukacyjnej na szczeblu krajowym,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lokalnym.</w:t>
      </w:r>
    </w:p>
    <w:p w:rsidR="00C872F5" w:rsidRPr="009B438B" w:rsidRDefault="0026265F" w:rsidP="00671150">
      <w:pPr>
        <w:pStyle w:val="txt"/>
        <w:spacing w:line="276" w:lineRule="auto"/>
        <w:rPr>
          <w:sz w:val="18"/>
          <w:szCs w:val="22"/>
        </w:rPr>
      </w:pPr>
      <w:hyperlink r:id="rId17" w:history="1">
        <w:r w:rsidR="00C872F5" w:rsidRPr="009B438B">
          <w:rPr>
            <w:rStyle w:val="Hipercze"/>
            <w:sz w:val="18"/>
            <w:szCs w:val="22"/>
          </w:rPr>
          <w:t>www.ibe.edu.pl</w:t>
        </w:r>
      </w:hyperlink>
    </w:p>
    <w:p w:rsidR="00C872F5" w:rsidRPr="009B438B" w:rsidRDefault="00C872F5" w:rsidP="00671150">
      <w:pPr>
        <w:pStyle w:val="txt"/>
        <w:spacing w:line="276" w:lineRule="auto"/>
        <w:rPr>
          <w:sz w:val="18"/>
          <w:szCs w:val="22"/>
        </w:rPr>
      </w:pPr>
    </w:p>
    <w:p w:rsidR="00C872F5" w:rsidRPr="009B438B" w:rsidRDefault="00C872F5" w:rsidP="00671150">
      <w:pPr>
        <w:pStyle w:val="txt"/>
        <w:spacing w:line="276" w:lineRule="auto"/>
        <w:rPr>
          <w:b/>
          <w:sz w:val="18"/>
          <w:szCs w:val="22"/>
          <w:u w:val="single"/>
        </w:rPr>
      </w:pPr>
      <w:r w:rsidRPr="009B438B">
        <w:rPr>
          <w:b/>
          <w:sz w:val="18"/>
          <w:szCs w:val="22"/>
          <w:u w:val="single"/>
        </w:rPr>
        <w:t>Informacje o projekcie Entuzjaści Edukacji:</w:t>
      </w:r>
    </w:p>
    <w:p w:rsidR="00C872F5" w:rsidRPr="009B438B" w:rsidRDefault="00C872F5" w:rsidP="00671150">
      <w:pPr>
        <w:pStyle w:val="txt"/>
        <w:spacing w:line="276" w:lineRule="auto"/>
        <w:rPr>
          <w:sz w:val="18"/>
          <w:szCs w:val="22"/>
        </w:rPr>
      </w:pPr>
      <w:r w:rsidRPr="009B438B">
        <w:rPr>
          <w:sz w:val="18"/>
          <w:szCs w:val="22"/>
        </w:rPr>
        <w:t>Celem głównym projektu systemowego „Badanie jakości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efektywności edukacji oraz instytucjonalizacja zaplecza badawczego” (Entuzjaści Edukacji) jest wzmocnienie systemu edukacji w zakresie badań edukacyjnych oraz zwiększenie wykorzystywania wyników badań naukowych w polityce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praktyce edukacyjnej oraz w zarządzaniu oświatą. Projekt jest realizowany przez IBE ze środków Europejskiego Funduszu Społecznego w ramach Programu Operacyjnego Kapitał Ludzki, Priorytet III: Wysoka jakość systemu oświaty, Poddziałanie 3.1.1 Tworzenie warunków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narzędzi do monitorowania, ewaluacji</w:t>
      </w:r>
      <w:r w:rsidR="00180760">
        <w:rPr>
          <w:sz w:val="18"/>
          <w:szCs w:val="22"/>
        </w:rPr>
        <w:t> i </w:t>
      </w:r>
      <w:r w:rsidRPr="009B438B">
        <w:rPr>
          <w:sz w:val="18"/>
          <w:szCs w:val="22"/>
        </w:rPr>
        <w:t>badań systemu oświaty.</w:t>
      </w:r>
    </w:p>
    <w:p w:rsidR="00FF2DC3" w:rsidRDefault="0026265F" w:rsidP="00671150">
      <w:pPr>
        <w:pStyle w:val="txt"/>
        <w:spacing w:line="276" w:lineRule="auto"/>
        <w:rPr>
          <w:rStyle w:val="Hipercze"/>
          <w:sz w:val="18"/>
          <w:szCs w:val="22"/>
        </w:rPr>
      </w:pPr>
      <w:hyperlink r:id="rId18" w:history="1">
        <w:r w:rsidR="00C872F5" w:rsidRPr="009B438B">
          <w:rPr>
            <w:rStyle w:val="Hipercze"/>
            <w:sz w:val="18"/>
            <w:szCs w:val="22"/>
          </w:rPr>
          <w:t>www.eduentuzjasci.pl</w:t>
        </w:r>
      </w:hyperlink>
    </w:p>
    <w:p w:rsidR="00E72E5F" w:rsidRDefault="00E72E5F" w:rsidP="00671150">
      <w:pPr>
        <w:pStyle w:val="txt"/>
        <w:spacing w:line="276" w:lineRule="auto"/>
        <w:rPr>
          <w:rStyle w:val="Hipercze"/>
          <w:sz w:val="18"/>
          <w:szCs w:val="22"/>
        </w:rPr>
      </w:pPr>
    </w:p>
    <w:p w:rsidR="001E5D98" w:rsidRPr="00735A61" w:rsidRDefault="001E5D98" w:rsidP="001E5D98">
      <w:pPr>
        <w:pStyle w:val="txt"/>
        <w:rPr>
          <w:b/>
          <w:sz w:val="18"/>
          <w:szCs w:val="22"/>
        </w:rPr>
      </w:pPr>
      <w:r w:rsidRPr="00735A61">
        <w:rPr>
          <w:b/>
          <w:sz w:val="18"/>
          <w:szCs w:val="22"/>
        </w:rPr>
        <w:t>Kontakt d</w:t>
      </w:r>
      <w:r>
        <w:rPr>
          <w:b/>
          <w:sz w:val="18"/>
          <w:szCs w:val="22"/>
        </w:rPr>
        <w:t>la</w:t>
      </w:r>
      <w:r w:rsidRPr="00735A61">
        <w:rPr>
          <w:b/>
          <w:sz w:val="18"/>
          <w:szCs w:val="22"/>
        </w:rPr>
        <w:t xml:space="preserve"> mediów </w:t>
      </w:r>
    </w:p>
    <w:p w:rsidR="001E5D98" w:rsidRPr="00735A61" w:rsidRDefault="001E5D98" w:rsidP="001E5D98">
      <w:pPr>
        <w:pStyle w:val="txt"/>
        <w:rPr>
          <w:i/>
          <w:sz w:val="18"/>
          <w:szCs w:val="22"/>
        </w:rPr>
      </w:pPr>
    </w:p>
    <w:p w:rsidR="001E5D98" w:rsidRPr="00735A61" w:rsidRDefault="001E5D98" w:rsidP="001E5D98">
      <w:pPr>
        <w:pStyle w:val="txt"/>
        <w:rPr>
          <w:b/>
          <w:i/>
          <w:sz w:val="18"/>
          <w:szCs w:val="22"/>
          <w:lang w:val="en-US"/>
        </w:rPr>
      </w:pPr>
      <w:r w:rsidRPr="00735A61">
        <w:rPr>
          <w:b/>
          <w:i/>
          <w:sz w:val="18"/>
          <w:szCs w:val="22"/>
          <w:lang w:val="en-US"/>
        </w:rPr>
        <w:t>Weronika Janda</w:t>
      </w:r>
    </w:p>
    <w:p w:rsidR="001E5D98" w:rsidRPr="00735A61" w:rsidRDefault="001E5D98" w:rsidP="001E5D98">
      <w:pPr>
        <w:pStyle w:val="txt"/>
        <w:rPr>
          <w:i/>
          <w:sz w:val="18"/>
          <w:szCs w:val="22"/>
          <w:lang w:val="en-US"/>
        </w:rPr>
      </w:pPr>
      <w:r w:rsidRPr="00735A61">
        <w:rPr>
          <w:i/>
          <w:sz w:val="18"/>
          <w:szCs w:val="22"/>
          <w:lang w:val="en-US"/>
        </w:rPr>
        <w:t>Marketing &amp; Communications Consultants</w:t>
      </w:r>
    </w:p>
    <w:p w:rsidR="001E5D98" w:rsidRPr="00735A61" w:rsidRDefault="001E5D98" w:rsidP="001E5D98">
      <w:pPr>
        <w:pStyle w:val="txt"/>
        <w:rPr>
          <w:i/>
          <w:sz w:val="18"/>
          <w:szCs w:val="22"/>
          <w:lang w:val="en-US"/>
        </w:rPr>
      </w:pPr>
      <w:r w:rsidRPr="00735A61">
        <w:rPr>
          <w:i/>
          <w:sz w:val="18"/>
          <w:szCs w:val="22"/>
          <w:lang w:val="en-US"/>
        </w:rPr>
        <w:t>ul. Wilcza 28/10, 00-544 Warszawa</w:t>
      </w:r>
    </w:p>
    <w:p w:rsidR="001E5D98" w:rsidRPr="00735A61" w:rsidRDefault="001E5D98" w:rsidP="001E5D98">
      <w:pPr>
        <w:pStyle w:val="txt"/>
        <w:rPr>
          <w:i/>
          <w:sz w:val="18"/>
          <w:szCs w:val="22"/>
          <w:lang w:val="en-US"/>
        </w:rPr>
      </w:pPr>
      <w:r w:rsidRPr="00735A61">
        <w:rPr>
          <w:i/>
          <w:sz w:val="18"/>
          <w:szCs w:val="22"/>
          <w:lang w:val="en-US"/>
        </w:rPr>
        <w:t xml:space="preserve">e-mail: </w:t>
      </w:r>
      <w:hyperlink r:id="rId19" w:history="1">
        <w:r w:rsidRPr="00735A61">
          <w:rPr>
            <w:rStyle w:val="Hipercze"/>
            <w:i/>
            <w:sz w:val="18"/>
            <w:szCs w:val="22"/>
            <w:lang w:val="en-US"/>
          </w:rPr>
          <w:t>janda@mcconsultants.pl</w:t>
        </w:r>
      </w:hyperlink>
    </w:p>
    <w:p w:rsidR="001E5D98" w:rsidRPr="00735A61" w:rsidRDefault="001E5D98" w:rsidP="001E5D98">
      <w:pPr>
        <w:pStyle w:val="txt"/>
        <w:rPr>
          <w:i/>
          <w:sz w:val="18"/>
          <w:szCs w:val="22"/>
          <w:lang w:val="en-US"/>
        </w:rPr>
      </w:pPr>
      <w:r w:rsidRPr="00735A61">
        <w:rPr>
          <w:i/>
          <w:sz w:val="18"/>
          <w:szCs w:val="22"/>
          <w:lang w:val="en-US"/>
        </w:rPr>
        <w:t>tel. kom. +48 662 086 500</w:t>
      </w:r>
    </w:p>
    <w:p w:rsidR="00E72E5F" w:rsidRPr="00346ECA" w:rsidRDefault="001E5D98" w:rsidP="00346ECA">
      <w:pPr>
        <w:pStyle w:val="txt"/>
        <w:rPr>
          <w:i/>
          <w:sz w:val="18"/>
          <w:szCs w:val="22"/>
          <w:lang w:val="en-US"/>
        </w:rPr>
      </w:pPr>
      <w:r w:rsidRPr="00735A61">
        <w:rPr>
          <w:i/>
          <w:sz w:val="18"/>
          <w:szCs w:val="22"/>
          <w:lang w:val="en-US"/>
        </w:rPr>
        <w:t>tel. (+48 22) 40 66 100/101 wew. 23</w:t>
      </w:r>
    </w:p>
    <w:sectPr w:rsidR="00E72E5F" w:rsidRPr="00346ECA" w:rsidSect="001E5D98">
      <w:headerReference w:type="default" r:id="rId20"/>
      <w:footerReference w:type="default" r:id="rId21"/>
      <w:pgSz w:w="11906" w:h="16838"/>
      <w:pgMar w:top="1961" w:right="851" w:bottom="1418" w:left="1701" w:header="56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5F" w:rsidRDefault="0026265F">
      <w:r>
        <w:separator/>
      </w:r>
    </w:p>
  </w:endnote>
  <w:endnote w:type="continuationSeparator" w:id="0">
    <w:p w:rsidR="0026265F" w:rsidRDefault="0026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761215"/>
      <w:docPartObj>
        <w:docPartGallery w:val="Page Numbers (Bottom of Page)"/>
        <w:docPartUnique/>
      </w:docPartObj>
    </w:sdtPr>
    <w:sdtEndPr/>
    <w:sdtContent>
      <w:p w:rsidR="009E27A4" w:rsidRDefault="009E27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8D" w:rsidRPr="00716D8D">
          <w:rPr>
            <w:noProof/>
            <w:lang w:val="pl-PL"/>
          </w:rPr>
          <w:t>1</w:t>
        </w:r>
        <w:r>
          <w:fldChar w:fldCharType="end"/>
        </w:r>
      </w:p>
    </w:sdtContent>
  </w:sdt>
  <w:p w:rsidR="001E5D98" w:rsidRPr="00727094" w:rsidRDefault="001E5D98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5F" w:rsidRDefault="0026265F">
      <w:r>
        <w:separator/>
      </w:r>
    </w:p>
  </w:footnote>
  <w:footnote w:type="continuationSeparator" w:id="0">
    <w:p w:rsidR="0026265F" w:rsidRDefault="0026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98" w:rsidRPr="00AB7DC2" w:rsidRDefault="001E5D98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F632D5"/>
    <w:multiLevelType w:val="hybridMultilevel"/>
    <w:tmpl w:val="93EE7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8E"/>
    <w:rsid w:val="00001D94"/>
    <w:rsid w:val="00006593"/>
    <w:rsid w:val="00006D2B"/>
    <w:rsid w:val="000070E8"/>
    <w:rsid w:val="00016380"/>
    <w:rsid w:val="000170AA"/>
    <w:rsid w:val="000176B0"/>
    <w:rsid w:val="000246C8"/>
    <w:rsid w:val="000270D4"/>
    <w:rsid w:val="00032044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72E09"/>
    <w:rsid w:val="00084554"/>
    <w:rsid w:val="00086521"/>
    <w:rsid w:val="0009350F"/>
    <w:rsid w:val="000969B2"/>
    <w:rsid w:val="000A003D"/>
    <w:rsid w:val="000A3CBE"/>
    <w:rsid w:val="000A5EB1"/>
    <w:rsid w:val="000A63C9"/>
    <w:rsid w:val="000A7451"/>
    <w:rsid w:val="000B21EC"/>
    <w:rsid w:val="000B3CD5"/>
    <w:rsid w:val="000C00CF"/>
    <w:rsid w:val="000C3D71"/>
    <w:rsid w:val="000E0C08"/>
    <w:rsid w:val="000F3261"/>
    <w:rsid w:val="000F54DB"/>
    <w:rsid w:val="001028A2"/>
    <w:rsid w:val="001031D2"/>
    <w:rsid w:val="0010510B"/>
    <w:rsid w:val="001154D1"/>
    <w:rsid w:val="001159B7"/>
    <w:rsid w:val="0011742D"/>
    <w:rsid w:val="00122A0D"/>
    <w:rsid w:val="00123FD3"/>
    <w:rsid w:val="00125A16"/>
    <w:rsid w:val="00135DD3"/>
    <w:rsid w:val="00142BA9"/>
    <w:rsid w:val="001437B0"/>
    <w:rsid w:val="0014526C"/>
    <w:rsid w:val="0015155B"/>
    <w:rsid w:val="00151C8C"/>
    <w:rsid w:val="00154046"/>
    <w:rsid w:val="0017157C"/>
    <w:rsid w:val="00173E40"/>
    <w:rsid w:val="00175F83"/>
    <w:rsid w:val="00176961"/>
    <w:rsid w:val="00177774"/>
    <w:rsid w:val="00180760"/>
    <w:rsid w:val="0018348E"/>
    <w:rsid w:val="001879F3"/>
    <w:rsid w:val="0019115D"/>
    <w:rsid w:val="00194665"/>
    <w:rsid w:val="001A1B60"/>
    <w:rsid w:val="001B26F9"/>
    <w:rsid w:val="001B39FF"/>
    <w:rsid w:val="001B5665"/>
    <w:rsid w:val="001B6597"/>
    <w:rsid w:val="001C6FDE"/>
    <w:rsid w:val="001D1AF8"/>
    <w:rsid w:val="001D30D7"/>
    <w:rsid w:val="001E1A5B"/>
    <w:rsid w:val="001E1D2D"/>
    <w:rsid w:val="001E5D98"/>
    <w:rsid w:val="001E717E"/>
    <w:rsid w:val="001E7BB7"/>
    <w:rsid w:val="001F0DBC"/>
    <w:rsid w:val="001F53D6"/>
    <w:rsid w:val="001F5A39"/>
    <w:rsid w:val="001F6F48"/>
    <w:rsid w:val="001F780D"/>
    <w:rsid w:val="00212CC2"/>
    <w:rsid w:val="0021728F"/>
    <w:rsid w:val="00217EA7"/>
    <w:rsid w:val="0023103D"/>
    <w:rsid w:val="00232919"/>
    <w:rsid w:val="0023309D"/>
    <w:rsid w:val="00236281"/>
    <w:rsid w:val="00254216"/>
    <w:rsid w:val="0026265F"/>
    <w:rsid w:val="00265D7E"/>
    <w:rsid w:val="00273F4F"/>
    <w:rsid w:val="0027637B"/>
    <w:rsid w:val="002768DB"/>
    <w:rsid w:val="00276A3B"/>
    <w:rsid w:val="002809A6"/>
    <w:rsid w:val="00280F53"/>
    <w:rsid w:val="00281C4D"/>
    <w:rsid w:val="0028724A"/>
    <w:rsid w:val="00287586"/>
    <w:rsid w:val="00294DE9"/>
    <w:rsid w:val="002A0034"/>
    <w:rsid w:val="002A1D55"/>
    <w:rsid w:val="002A6660"/>
    <w:rsid w:val="002B0574"/>
    <w:rsid w:val="002B0D4C"/>
    <w:rsid w:val="002B3F77"/>
    <w:rsid w:val="002B47D6"/>
    <w:rsid w:val="002B7897"/>
    <w:rsid w:val="002C4F01"/>
    <w:rsid w:val="002C6B75"/>
    <w:rsid w:val="002C73A8"/>
    <w:rsid w:val="002D555E"/>
    <w:rsid w:val="002D73AF"/>
    <w:rsid w:val="002E0761"/>
    <w:rsid w:val="002E0AF3"/>
    <w:rsid w:val="002E6616"/>
    <w:rsid w:val="002E70FD"/>
    <w:rsid w:val="002F07E7"/>
    <w:rsid w:val="00300839"/>
    <w:rsid w:val="00302006"/>
    <w:rsid w:val="00302955"/>
    <w:rsid w:val="00303CA7"/>
    <w:rsid w:val="00305637"/>
    <w:rsid w:val="00311389"/>
    <w:rsid w:val="00313015"/>
    <w:rsid w:val="0031729F"/>
    <w:rsid w:val="00317DCF"/>
    <w:rsid w:val="0032765C"/>
    <w:rsid w:val="00331465"/>
    <w:rsid w:val="003352EF"/>
    <w:rsid w:val="00335471"/>
    <w:rsid w:val="003373B7"/>
    <w:rsid w:val="00345473"/>
    <w:rsid w:val="00346312"/>
    <w:rsid w:val="00346ECA"/>
    <w:rsid w:val="0035200C"/>
    <w:rsid w:val="0035227E"/>
    <w:rsid w:val="00352DEA"/>
    <w:rsid w:val="003544D5"/>
    <w:rsid w:val="0036327B"/>
    <w:rsid w:val="003664D7"/>
    <w:rsid w:val="00374808"/>
    <w:rsid w:val="00375683"/>
    <w:rsid w:val="00376109"/>
    <w:rsid w:val="00380C14"/>
    <w:rsid w:val="00383BC7"/>
    <w:rsid w:val="00383BC9"/>
    <w:rsid w:val="0038688F"/>
    <w:rsid w:val="003943E9"/>
    <w:rsid w:val="0039446B"/>
    <w:rsid w:val="003976FD"/>
    <w:rsid w:val="003A1EC5"/>
    <w:rsid w:val="003A202E"/>
    <w:rsid w:val="003A3351"/>
    <w:rsid w:val="003A5A1E"/>
    <w:rsid w:val="003A7D23"/>
    <w:rsid w:val="003B1AC2"/>
    <w:rsid w:val="003B563F"/>
    <w:rsid w:val="003B6D9A"/>
    <w:rsid w:val="003C1A4C"/>
    <w:rsid w:val="003C4244"/>
    <w:rsid w:val="003D5EDD"/>
    <w:rsid w:val="003D7112"/>
    <w:rsid w:val="003E17C5"/>
    <w:rsid w:val="003E39E2"/>
    <w:rsid w:val="003E7CE7"/>
    <w:rsid w:val="003F31E9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6FDD"/>
    <w:rsid w:val="00444C63"/>
    <w:rsid w:val="00452A01"/>
    <w:rsid w:val="00452DF0"/>
    <w:rsid w:val="004532CE"/>
    <w:rsid w:val="00456856"/>
    <w:rsid w:val="004616FC"/>
    <w:rsid w:val="00463D87"/>
    <w:rsid w:val="00464973"/>
    <w:rsid w:val="00466F21"/>
    <w:rsid w:val="00477B53"/>
    <w:rsid w:val="00481508"/>
    <w:rsid w:val="004854F2"/>
    <w:rsid w:val="00485FAC"/>
    <w:rsid w:val="00486FEA"/>
    <w:rsid w:val="004913BD"/>
    <w:rsid w:val="00496AB3"/>
    <w:rsid w:val="004B75D6"/>
    <w:rsid w:val="004C0CD5"/>
    <w:rsid w:val="004D3E27"/>
    <w:rsid w:val="004D61C8"/>
    <w:rsid w:val="004E13CA"/>
    <w:rsid w:val="004E2591"/>
    <w:rsid w:val="004E5BB5"/>
    <w:rsid w:val="004E6FBA"/>
    <w:rsid w:val="004E7AD1"/>
    <w:rsid w:val="004F345E"/>
    <w:rsid w:val="004F39CB"/>
    <w:rsid w:val="004F6D7B"/>
    <w:rsid w:val="005042B9"/>
    <w:rsid w:val="00511469"/>
    <w:rsid w:val="005201F9"/>
    <w:rsid w:val="00520D4E"/>
    <w:rsid w:val="00521EB1"/>
    <w:rsid w:val="00523B64"/>
    <w:rsid w:val="00527D48"/>
    <w:rsid w:val="005323B2"/>
    <w:rsid w:val="00532C78"/>
    <w:rsid w:val="00533C07"/>
    <w:rsid w:val="00535B0A"/>
    <w:rsid w:val="0053688A"/>
    <w:rsid w:val="005375E8"/>
    <w:rsid w:val="00541CE1"/>
    <w:rsid w:val="00544F7C"/>
    <w:rsid w:val="00545D0B"/>
    <w:rsid w:val="005564EA"/>
    <w:rsid w:val="005571FE"/>
    <w:rsid w:val="00557ACC"/>
    <w:rsid w:val="0056006E"/>
    <w:rsid w:val="00560DCB"/>
    <w:rsid w:val="00563537"/>
    <w:rsid w:val="00565DAF"/>
    <w:rsid w:val="00567945"/>
    <w:rsid w:val="005720CE"/>
    <w:rsid w:val="00573AD9"/>
    <w:rsid w:val="005746D9"/>
    <w:rsid w:val="005762E2"/>
    <w:rsid w:val="00576C85"/>
    <w:rsid w:val="00577063"/>
    <w:rsid w:val="005778EC"/>
    <w:rsid w:val="00582C20"/>
    <w:rsid w:val="005841B4"/>
    <w:rsid w:val="005856B6"/>
    <w:rsid w:val="005871D0"/>
    <w:rsid w:val="005878DF"/>
    <w:rsid w:val="00587E37"/>
    <w:rsid w:val="005958F2"/>
    <w:rsid w:val="005A0CE2"/>
    <w:rsid w:val="005A1EAC"/>
    <w:rsid w:val="005A4CE0"/>
    <w:rsid w:val="005A774F"/>
    <w:rsid w:val="005B0FE0"/>
    <w:rsid w:val="005B459C"/>
    <w:rsid w:val="005C2062"/>
    <w:rsid w:val="005C72F0"/>
    <w:rsid w:val="005D0DC7"/>
    <w:rsid w:val="005E0E9D"/>
    <w:rsid w:val="005E1DBB"/>
    <w:rsid w:val="005E223A"/>
    <w:rsid w:val="005E326E"/>
    <w:rsid w:val="005E5716"/>
    <w:rsid w:val="005E5852"/>
    <w:rsid w:val="005E5FAE"/>
    <w:rsid w:val="005F306F"/>
    <w:rsid w:val="005F42F4"/>
    <w:rsid w:val="00600B66"/>
    <w:rsid w:val="00611F81"/>
    <w:rsid w:val="006147A0"/>
    <w:rsid w:val="00615948"/>
    <w:rsid w:val="00615BC1"/>
    <w:rsid w:val="00615E96"/>
    <w:rsid w:val="00620A92"/>
    <w:rsid w:val="0062398E"/>
    <w:rsid w:val="0062527F"/>
    <w:rsid w:val="00641C81"/>
    <w:rsid w:val="00650FC9"/>
    <w:rsid w:val="006577A8"/>
    <w:rsid w:val="0066307C"/>
    <w:rsid w:val="00664A0C"/>
    <w:rsid w:val="0066553D"/>
    <w:rsid w:val="006667A1"/>
    <w:rsid w:val="00667002"/>
    <w:rsid w:val="00667148"/>
    <w:rsid w:val="006710F7"/>
    <w:rsid w:val="00671150"/>
    <w:rsid w:val="006753D6"/>
    <w:rsid w:val="006805DF"/>
    <w:rsid w:val="0068314A"/>
    <w:rsid w:val="0068340B"/>
    <w:rsid w:val="00684023"/>
    <w:rsid w:val="0068411D"/>
    <w:rsid w:val="00691FB6"/>
    <w:rsid w:val="006951B5"/>
    <w:rsid w:val="006A3664"/>
    <w:rsid w:val="006A4429"/>
    <w:rsid w:val="006A7D97"/>
    <w:rsid w:val="006B0238"/>
    <w:rsid w:val="006B060A"/>
    <w:rsid w:val="006B4539"/>
    <w:rsid w:val="006B61AB"/>
    <w:rsid w:val="006C3965"/>
    <w:rsid w:val="006C4CB5"/>
    <w:rsid w:val="006C6FB1"/>
    <w:rsid w:val="006D34E4"/>
    <w:rsid w:val="006D795C"/>
    <w:rsid w:val="006E29B8"/>
    <w:rsid w:val="006E5A94"/>
    <w:rsid w:val="006E653A"/>
    <w:rsid w:val="006F2AC9"/>
    <w:rsid w:val="006F2AD5"/>
    <w:rsid w:val="006F570A"/>
    <w:rsid w:val="006F73DE"/>
    <w:rsid w:val="00702370"/>
    <w:rsid w:val="00706008"/>
    <w:rsid w:val="00710967"/>
    <w:rsid w:val="007127EB"/>
    <w:rsid w:val="0071323E"/>
    <w:rsid w:val="00716D8D"/>
    <w:rsid w:val="007213DE"/>
    <w:rsid w:val="00723604"/>
    <w:rsid w:val="007241B1"/>
    <w:rsid w:val="007256A8"/>
    <w:rsid w:val="00727094"/>
    <w:rsid w:val="00732DBA"/>
    <w:rsid w:val="00733603"/>
    <w:rsid w:val="007340E5"/>
    <w:rsid w:val="00735A61"/>
    <w:rsid w:val="007373FC"/>
    <w:rsid w:val="00740CB3"/>
    <w:rsid w:val="00745047"/>
    <w:rsid w:val="00751088"/>
    <w:rsid w:val="00761DFF"/>
    <w:rsid w:val="00772135"/>
    <w:rsid w:val="0077220C"/>
    <w:rsid w:val="00772B3F"/>
    <w:rsid w:val="00774703"/>
    <w:rsid w:val="0079231A"/>
    <w:rsid w:val="007A0404"/>
    <w:rsid w:val="007A152E"/>
    <w:rsid w:val="007A4519"/>
    <w:rsid w:val="007B11E2"/>
    <w:rsid w:val="007B71FC"/>
    <w:rsid w:val="007C1ADA"/>
    <w:rsid w:val="007C36F3"/>
    <w:rsid w:val="007D68EF"/>
    <w:rsid w:val="007D7E8E"/>
    <w:rsid w:val="007E1F93"/>
    <w:rsid w:val="007E3DED"/>
    <w:rsid w:val="007E4915"/>
    <w:rsid w:val="007E4A8C"/>
    <w:rsid w:val="007F3828"/>
    <w:rsid w:val="007F4941"/>
    <w:rsid w:val="00802CDF"/>
    <w:rsid w:val="00807A86"/>
    <w:rsid w:val="008172E0"/>
    <w:rsid w:val="00827451"/>
    <w:rsid w:val="0083055A"/>
    <w:rsid w:val="00831969"/>
    <w:rsid w:val="00832DA9"/>
    <w:rsid w:val="008354BD"/>
    <w:rsid w:val="00835A83"/>
    <w:rsid w:val="00836BFD"/>
    <w:rsid w:val="00836E77"/>
    <w:rsid w:val="008418BB"/>
    <w:rsid w:val="008439F6"/>
    <w:rsid w:val="00844790"/>
    <w:rsid w:val="00845974"/>
    <w:rsid w:val="00847F80"/>
    <w:rsid w:val="00854737"/>
    <w:rsid w:val="00854B29"/>
    <w:rsid w:val="008574CE"/>
    <w:rsid w:val="008575AF"/>
    <w:rsid w:val="00863453"/>
    <w:rsid w:val="0087000D"/>
    <w:rsid w:val="00871D0D"/>
    <w:rsid w:val="00872389"/>
    <w:rsid w:val="008728D3"/>
    <w:rsid w:val="008800AB"/>
    <w:rsid w:val="00887756"/>
    <w:rsid w:val="008900A6"/>
    <w:rsid w:val="008941AF"/>
    <w:rsid w:val="008B2027"/>
    <w:rsid w:val="008C0071"/>
    <w:rsid w:val="008C18A3"/>
    <w:rsid w:val="008D3605"/>
    <w:rsid w:val="008E527B"/>
    <w:rsid w:val="008E5EB6"/>
    <w:rsid w:val="008F2554"/>
    <w:rsid w:val="008F2619"/>
    <w:rsid w:val="008F6C4F"/>
    <w:rsid w:val="009049C4"/>
    <w:rsid w:val="009057C6"/>
    <w:rsid w:val="0091045B"/>
    <w:rsid w:val="009152CE"/>
    <w:rsid w:val="00915B91"/>
    <w:rsid w:val="0092617A"/>
    <w:rsid w:val="009370D5"/>
    <w:rsid w:val="00940D90"/>
    <w:rsid w:val="00942C67"/>
    <w:rsid w:val="00951493"/>
    <w:rsid w:val="0095251E"/>
    <w:rsid w:val="009528C5"/>
    <w:rsid w:val="009532EA"/>
    <w:rsid w:val="00953E8A"/>
    <w:rsid w:val="00954306"/>
    <w:rsid w:val="00956469"/>
    <w:rsid w:val="009577CB"/>
    <w:rsid w:val="00960090"/>
    <w:rsid w:val="0096099F"/>
    <w:rsid w:val="00966612"/>
    <w:rsid w:val="009676A2"/>
    <w:rsid w:val="00970305"/>
    <w:rsid w:val="0097037E"/>
    <w:rsid w:val="00970B6B"/>
    <w:rsid w:val="00970EE8"/>
    <w:rsid w:val="00973FC6"/>
    <w:rsid w:val="00977230"/>
    <w:rsid w:val="00991044"/>
    <w:rsid w:val="00991F05"/>
    <w:rsid w:val="009A4D1D"/>
    <w:rsid w:val="009A6B78"/>
    <w:rsid w:val="009B321B"/>
    <w:rsid w:val="009B438B"/>
    <w:rsid w:val="009B531B"/>
    <w:rsid w:val="009C3AE4"/>
    <w:rsid w:val="009C657F"/>
    <w:rsid w:val="009D299B"/>
    <w:rsid w:val="009D5ED1"/>
    <w:rsid w:val="009D71DB"/>
    <w:rsid w:val="009E0C70"/>
    <w:rsid w:val="009E212D"/>
    <w:rsid w:val="009E27A4"/>
    <w:rsid w:val="009E4757"/>
    <w:rsid w:val="009E57C6"/>
    <w:rsid w:val="009F4798"/>
    <w:rsid w:val="00A035BF"/>
    <w:rsid w:val="00A11F38"/>
    <w:rsid w:val="00A251EF"/>
    <w:rsid w:val="00A25E0F"/>
    <w:rsid w:val="00A30C4A"/>
    <w:rsid w:val="00A32279"/>
    <w:rsid w:val="00A32645"/>
    <w:rsid w:val="00A3667A"/>
    <w:rsid w:val="00A36BF7"/>
    <w:rsid w:val="00A36E7A"/>
    <w:rsid w:val="00A41130"/>
    <w:rsid w:val="00A437B7"/>
    <w:rsid w:val="00A637B5"/>
    <w:rsid w:val="00A74D03"/>
    <w:rsid w:val="00A76D9B"/>
    <w:rsid w:val="00A8118A"/>
    <w:rsid w:val="00A85D0D"/>
    <w:rsid w:val="00A92939"/>
    <w:rsid w:val="00A95963"/>
    <w:rsid w:val="00A95F4C"/>
    <w:rsid w:val="00A96AE0"/>
    <w:rsid w:val="00AA6770"/>
    <w:rsid w:val="00AA6ADB"/>
    <w:rsid w:val="00AB0389"/>
    <w:rsid w:val="00AB38C4"/>
    <w:rsid w:val="00AB76E8"/>
    <w:rsid w:val="00AB7DC2"/>
    <w:rsid w:val="00AB7EDA"/>
    <w:rsid w:val="00AC0B31"/>
    <w:rsid w:val="00AC3B28"/>
    <w:rsid w:val="00AC4482"/>
    <w:rsid w:val="00AC6810"/>
    <w:rsid w:val="00AD0346"/>
    <w:rsid w:val="00AD4E7A"/>
    <w:rsid w:val="00AD5FA6"/>
    <w:rsid w:val="00AE234E"/>
    <w:rsid w:val="00AF0B4C"/>
    <w:rsid w:val="00AF11AA"/>
    <w:rsid w:val="00AF15B3"/>
    <w:rsid w:val="00AF1B13"/>
    <w:rsid w:val="00AF4CCD"/>
    <w:rsid w:val="00AF5D63"/>
    <w:rsid w:val="00AF6FB1"/>
    <w:rsid w:val="00AF79D6"/>
    <w:rsid w:val="00B00805"/>
    <w:rsid w:val="00B01950"/>
    <w:rsid w:val="00B07437"/>
    <w:rsid w:val="00B101F3"/>
    <w:rsid w:val="00B23290"/>
    <w:rsid w:val="00B242E1"/>
    <w:rsid w:val="00B24596"/>
    <w:rsid w:val="00B2705D"/>
    <w:rsid w:val="00B3424F"/>
    <w:rsid w:val="00B37D2F"/>
    <w:rsid w:val="00B44109"/>
    <w:rsid w:val="00B47DE6"/>
    <w:rsid w:val="00B47F5C"/>
    <w:rsid w:val="00B5196C"/>
    <w:rsid w:val="00B51C9C"/>
    <w:rsid w:val="00B57784"/>
    <w:rsid w:val="00B707ED"/>
    <w:rsid w:val="00B76566"/>
    <w:rsid w:val="00B76C91"/>
    <w:rsid w:val="00B7748F"/>
    <w:rsid w:val="00B90430"/>
    <w:rsid w:val="00B91F1B"/>
    <w:rsid w:val="00B9265E"/>
    <w:rsid w:val="00B945FA"/>
    <w:rsid w:val="00B94F79"/>
    <w:rsid w:val="00BA224F"/>
    <w:rsid w:val="00BA2ABA"/>
    <w:rsid w:val="00BA2BE1"/>
    <w:rsid w:val="00BA47C6"/>
    <w:rsid w:val="00BB0EC3"/>
    <w:rsid w:val="00BB2703"/>
    <w:rsid w:val="00BC1521"/>
    <w:rsid w:val="00BD01F9"/>
    <w:rsid w:val="00BD0512"/>
    <w:rsid w:val="00BD5476"/>
    <w:rsid w:val="00BE3170"/>
    <w:rsid w:val="00BE4CD2"/>
    <w:rsid w:val="00BE6C57"/>
    <w:rsid w:val="00BF2778"/>
    <w:rsid w:val="00C00F1F"/>
    <w:rsid w:val="00C035F7"/>
    <w:rsid w:val="00C04974"/>
    <w:rsid w:val="00C07BE0"/>
    <w:rsid w:val="00C1041B"/>
    <w:rsid w:val="00C13D4D"/>
    <w:rsid w:val="00C1527B"/>
    <w:rsid w:val="00C15835"/>
    <w:rsid w:val="00C26CC4"/>
    <w:rsid w:val="00C30C28"/>
    <w:rsid w:val="00C34CFF"/>
    <w:rsid w:val="00C420C1"/>
    <w:rsid w:val="00C43B25"/>
    <w:rsid w:val="00C4536B"/>
    <w:rsid w:val="00C50700"/>
    <w:rsid w:val="00C52752"/>
    <w:rsid w:val="00C6246F"/>
    <w:rsid w:val="00C86249"/>
    <w:rsid w:val="00C872F5"/>
    <w:rsid w:val="00C87AAC"/>
    <w:rsid w:val="00C921C4"/>
    <w:rsid w:val="00C96F2E"/>
    <w:rsid w:val="00CA17DA"/>
    <w:rsid w:val="00CA57C7"/>
    <w:rsid w:val="00CB181F"/>
    <w:rsid w:val="00CB1F1C"/>
    <w:rsid w:val="00CB22A3"/>
    <w:rsid w:val="00CB2719"/>
    <w:rsid w:val="00CB2C88"/>
    <w:rsid w:val="00CC0081"/>
    <w:rsid w:val="00CC20C8"/>
    <w:rsid w:val="00CC2315"/>
    <w:rsid w:val="00CC4123"/>
    <w:rsid w:val="00CC5F57"/>
    <w:rsid w:val="00CD0D8C"/>
    <w:rsid w:val="00CD221C"/>
    <w:rsid w:val="00CD25F5"/>
    <w:rsid w:val="00CD30E5"/>
    <w:rsid w:val="00CD7031"/>
    <w:rsid w:val="00CE684F"/>
    <w:rsid w:val="00CF1BB6"/>
    <w:rsid w:val="00CF2F46"/>
    <w:rsid w:val="00CF37F4"/>
    <w:rsid w:val="00D04F19"/>
    <w:rsid w:val="00D05643"/>
    <w:rsid w:val="00D142A5"/>
    <w:rsid w:val="00D24C6B"/>
    <w:rsid w:val="00D303A1"/>
    <w:rsid w:val="00D346CE"/>
    <w:rsid w:val="00D46BFD"/>
    <w:rsid w:val="00D5075A"/>
    <w:rsid w:val="00D50A58"/>
    <w:rsid w:val="00D532A0"/>
    <w:rsid w:val="00D54B3E"/>
    <w:rsid w:val="00D56451"/>
    <w:rsid w:val="00D615CF"/>
    <w:rsid w:val="00D71BF7"/>
    <w:rsid w:val="00D77F34"/>
    <w:rsid w:val="00D80237"/>
    <w:rsid w:val="00D82D2A"/>
    <w:rsid w:val="00D82F87"/>
    <w:rsid w:val="00D86145"/>
    <w:rsid w:val="00D92707"/>
    <w:rsid w:val="00D930BC"/>
    <w:rsid w:val="00D95456"/>
    <w:rsid w:val="00DA1EC4"/>
    <w:rsid w:val="00DA5DA5"/>
    <w:rsid w:val="00DA7966"/>
    <w:rsid w:val="00DB01FC"/>
    <w:rsid w:val="00DB1298"/>
    <w:rsid w:val="00DB356A"/>
    <w:rsid w:val="00DB6353"/>
    <w:rsid w:val="00DC2687"/>
    <w:rsid w:val="00DC289C"/>
    <w:rsid w:val="00DC682E"/>
    <w:rsid w:val="00DD24E1"/>
    <w:rsid w:val="00DD5CDA"/>
    <w:rsid w:val="00DD6067"/>
    <w:rsid w:val="00DE095A"/>
    <w:rsid w:val="00DE40E4"/>
    <w:rsid w:val="00DE4184"/>
    <w:rsid w:val="00DE44DE"/>
    <w:rsid w:val="00DE4B33"/>
    <w:rsid w:val="00DF19C6"/>
    <w:rsid w:val="00E00DDE"/>
    <w:rsid w:val="00E107F8"/>
    <w:rsid w:val="00E11D0F"/>
    <w:rsid w:val="00E22F68"/>
    <w:rsid w:val="00E25B86"/>
    <w:rsid w:val="00E25CEE"/>
    <w:rsid w:val="00E35051"/>
    <w:rsid w:val="00E42E6C"/>
    <w:rsid w:val="00E473B0"/>
    <w:rsid w:val="00E57371"/>
    <w:rsid w:val="00E67F78"/>
    <w:rsid w:val="00E71F38"/>
    <w:rsid w:val="00E72E5F"/>
    <w:rsid w:val="00E74941"/>
    <w:rsid w:val="00E756A3"/>
    <w:rsid w:val="00E8043C"/>
    <w:rsid w:val="00E8066B"/>
    <w:rsid w:val="00E85A8F"/>
    <w:rsid w:val="00E927B4"/>
    <w:rsid w:val="00E92ADE"/>
    <w:rsid w:val="00E94C76"/>
    <w:rsid w:val="00E97832"/>
    <w:rsid w:val="00EA1A2B"/>
    <w:rsid w:val="00EA377F"/>
    <w:rsid w:val="00EB0B64"/>
    <w:rsid w:val="00EB2D30"/>
    <w:rsid w:val="00EB2E9C"/>
    <w:rsid w:val="00EB4B70"/>
    <w:rsid w:val="00EC0DB3"/>
    <w:rsid w:val="00EC1B34"/>
    <w:rsid w:val="00ED7325"/>
    <w:rsid w:val="00EE226D"/>
    <w:rsid w:val="00EE3A44"/>
    <w:rsid w:val="00EE3D83"/>
    <w:rsid w:val="00EF2330"/>
    <w:rsid w:val="00F00C75"/>
    <w:rsid w:val="00F034C8"/>
    <w:rsid w:val="00F0507B"/>
    <w:rsid w:val="00F11EFB"/>
    <w:rsid w:val="00F1323A"/>
    <w:rsid w:val="00F15838"/>
    <w:rsid w:val="00F16DE4"/>
    <w:rsid w:val="00F1759F"/>
    <w:rsid w:val="00F17EC3"/>
    <w:rsid w:val="00F2750C"/>
    <w:rsid w:val="00F30100"/>
    <w:rsid w:val="00F31B6E"/>
    <w:rsid w:val="00F32D40"/>
    <w:rsid w:val="00F378C4"/>
    <w:rsid w:val="00F37A77"/>
    <w:rsid w:val="00F42162"/>
    <w:rsid w:val="00F443A8"/>
    <w:rsid w:val="00F45232"/>
    <w:rsid w:val="00F452EF"/>
    <w:rsid w:val="00F506B2"/>
    <w:rsid w:val="00F52576"/>
    <w:rsid w:val="00F56655"/>
    <w:rsid w:val="00F64991"/>
    <w:rsid w:val="00F65649"/>
    <w:rsid w:val="00F6573B"/>
    <w:rsid w:val="00F678D7"/>
    <w:rsid w:val="00F72EC8"/>
    <w:rsid w:val="00F80D0E"/>
    <w:rsid w:val="00F8106B"/>
    <w:rsid w:val="00F92B75"/>
    <w:rsid w:val="00FA3361"/>
    <w:rsid w:val="00FA3B9A"/>
    <w:rsid w:val="00FA549E"/>
    <w:rsid w:val="00FB13A2"/>
    <w:rsid w:val="00FB5FA9"/>
    <w:rsid w:val="00FC0A43"/>
    <w:rsid w:val="00FC68AE"/>
    <w:rsid w:val="00FD14A3"/>
    <w:rsid w:val="00FD1693"/>
    <w:rsid w:val="00FD3A06"/>
    <w:rsid w:val="00FD5E00"/>
    <w:rsid w:val="00FD6B6A"/>
    <w:rsid w:val="00FD6C3C"/>
    <w:rsid w:val="00FE1F6C"/>
    <w:rsid w:val="00FF2DC3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4A7D11-F077-478D-B882-DB5482DE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rsid w:val="001F53D6"/>
    <w:rPr>
      <w:vertAlign w:val="superscript"/>
    </w:rPr>
  </w:style>
  <w:style w:type="character" w:styleId="Pogrubienie">
    <w:name w:val="Strong"/>
    <w:uiPriority w:val="22"/>
    <w:qFormat/>
    <w:rsid w:val="001B5665"/>
    <w:rPr>
      <w:b/>
      <w:bCs/>
    </w:rPr>
  </w:style>
  <w:style w:type="paragraph" w:styleId="Akapitzlist">
    <w:name w:val="List Paragraph"/>
    <w:basedOn w:val="Normalny"/>
    <w:uiPriority w:val="34"/>
    <w:qFormat/>
    <w:rsid w:val="00FE1F6C"/>
    <w:pPr>
      <w:spacing w:after="200" w:line="276" w:lineRule="auto"/>
      <w:ind w:left="720"/>
      <w:contextualSpacing/>
    </w:pPr>
    <w:rPr>
      <w:rFonts w:ascii="Segoe UI" w:eastAsia="Calibri" w:hAnsi="Segoe UI" w:cs="Segoe U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E27A4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yperlink" Target="http://www.eduentuzjasci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ibe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entuzjasci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mailto:janda@mcconsultant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BE\AppData\Local\Microsoft\Windows\INetCache\Content.Outlook\ME4H5504\Potrzeby_dosk_poprawione%20(3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BE\AppData\Local\Microsoft\Windows\INetCache\Content.Outlook\ME4H5504\talis2013_wykresy_efficacy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BE\AppData\Local\Microsoft\Windows\INetCache\Content.Outlook\ME4H5504\talis2013_wykresy_efficacy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667226403396951"/>
          <c:y val="2.3026165602798469E-2"/>
          <c:w val="0.48030133282737608"/>
          <c:h val="0.838535153471784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'[Potrzeby_dosk_poprawione (3).xlsx]dane-potrzeby'!$B$3</c:f>
              <c:strCache>
                <c:ptCount val="1"/>
                <c:pt idx="0">
                  <c:v>Polska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'[Potrzeby_dosk_poprawione (3).xlsx]dane-potrzeby'!$A$4:$A$17</c:f>
              <c:strCache>
                <c:ptCount val="14"/>
                <c:pt idx="0">
                  <c:v>Praca z uczniami ze specjalnymi potrzebami edukacyjnymi</c:v>
                </c:pt>
                <c:pt idx="1">
                  <c:v>Nowe technologie w miejscu pracy </c:v>
                </c:pt>
                <c:pt idx="2">
                  <c:v>Zachowanie uczniów i kierowanie klasą </c:v>
                </c:pt>
                <c:pt idx="3">
                  <c:v>Wykorzystywane w nauczaniu umiejętności z zakresu technik komputerowych </c:v>
                </c:pt>
                <c:pt idx="4">
                  <c:v>Indywidualizacja nauczania </c:v>
                </c:pt>
                <c:pt idx="5">
                  <c:v>Doradzanie uczniom i poradnictwo zawodowe </c:v>
                </c:pt>
                <c:pt idx="6">
                  <c:v>Nauczanie umiejętności międzyprzedmiotowych (np. rozwiązywanie problemów, uczenie się, jak się uczyć) </c:v>
                </c:pt>
                <c:pt idx="7">
                  <c:v>Zarządzanie szkołą i administracja </c:v>
                </c:pt>
                <c:pt idx="8">
                  <c:v>Nauczanie w środowisku wielokulturowym lub wielojęzycznym </c:v>
                </c:pt>
                <c:pt idx="9">
                  <c:v>Rozwijanie kompetencji międzysektorowych potrzebnych w przyszłej pracy lub studiach </c:v>
                </c:pt>
                <c:pt idx="10">
                  <c:v>Ocenianie uczniów </c:v>
                </c:pt>
                <c:pt idx="11">
                  <c:v>Znajomość podstawy programowej</c:v>
                </c:pt>
                <c:pt idx="12">
                  <c:v>Kompetencje pedagogiczne w zakresie nauczania mojego przedmiotu(ów) </c:v>
                </c:pt>
                <c:pt idx="13">
                  <c:v>Wiedza i zrozumienie przedmiotu(ów), którego(ych) uczę </c:v>
                </c:pt>
              </c:strCache>
            </c:strRef>
          </c:cat>
          <c:val>
            <c:numRef>
              <c:f>'[Potrzeby_dosk_poprawione (3).xlsx]dane-potrzeby'!$B$4:$B$17</c:f>
              <c:numCache>
                <c:formatCode>0%</c:formatCode>
                <c:ptCount val="14"/>
                <c:pt idx="0">
                  <c:v>0.14444800827315366</c:v>
                </c:pt>
                <c:pt idx="1">
                  <c:v>0.13249796746661285</c:v>
                </c:pt>
                <c:pt idx="2">
                  <c:v>0.13064384626234288</c:v>
                </c:pt>
                <c:pt idx="3">
                  <c:v>0.10648618525039692</c:v>
                </c:pt>
                <c:pt idx="4">
                  <c:v>9.2094765669597664E-2</c:v>
                </c:pt>
                <c:pt idx="5">
                  <c:v>7.2254902568234344E-2</c:v>
                </c:pt>
                <c:pt idx="6">
                  <c:v>7.1565456306211389E-2</c:v>
                </c:pt>
                <c:pt idx="7">
                  <c:v>5.9526493539955774E-2</c:v>
                </c:pt>
                <c:pt idx="8">
                  <c:v>5.5080241169046119E-2</c:v>
                </c:pt>
                <c:pt idx="9">
                  <c:v>3.9251787351807434E-2</c:v>
                </c:pt>
                <c:pt idx="10">
                  <c:v>3.2869652281666051E-2</c:v>
                </c:pt>
                <c:pt idx="11">
                  <c:v>2.0795165330352899E-2</c:v>
                </c:pt>
                <c:pt idx="12">
                  <c:v>1.8132269616383027E-2</c:v>
                </c:pt>
                <c:pt idx="13">
                  <c:v>1.8063712491043857E-2</c:v>
                </c:pt>
              </c:numCache>
            </c:numRef>
          </c:val>
        </c:ser>
        <c:ser>
          <c:idx val="1"/>
          <c:order val="1"/>
          <c:tx>
            <c:strRef>
              <c:f>'[Potrzeby_dosk_poprawione (3).xlsx]dane-potrzeby'!$C$3</c:f>
              <c:strCache>
                <c:ptCount val="1"/>
                <c:pt idx="0">
                  <c:v>Średnia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'[Potrzeby_dosk_poprawione (3).xlsx]dane-potrzeby'!$A$4:$A$17</c:f>
              <c:strCache>
                <c:ptCount val="14"/>
                <c:pt idx="0">
                  <c:v>Praca z uczniami ze specjalnymi potrzebami edukacyjnymi</c:v>
                </c:pt>
                <c:pt idx="1">
                  <c:v>Nowe technologie w miejscu pracy </c:v>
                </c:pt>
                <c:pt idx="2">
                  <c:v>Zachowanie uczniów i kierowanie klasą </c:v>
                </c:pt>
                <c:pt idx="3">
                  <c:v>Wykorzystywane w nauczaniu umiejętności z zakresu technik komputerowych </c:v>
                </c:pt>
                <c:pt idx="4">
                  <c:v>Indywidualizacja nauczania </c:v>
                </c:pt>
                <c:pt idx="5">
                  <c:v>Doradzanie uczniom i poradnictwo zawodowe </c:v>
                </c:pt>
                <c:pt idx="6">
                  <c:v>Nauczanie umiejętności międzyprzedmiotowych (np. rozwiązywanie problemów, uczenie się, jak się uczyć) </c:v>
                </c:pt>
                <c:pt idx="7">
                  <c:v>Zarządzanie szkołą i administracja </c:v>
                </c:pt>
                <c:pt idx="8">
                  <c:v>Nauczanie w środowisku wielokulturowym lub wielojęzycznym </c:v>
                </c:pt>
                <c:pt idx="9">
                  <c:v>Rozwijanie kompetencji międzysektorowych potrzebnych w przyszłej pracy lub studiach </c:v>
                </c:pt>
                <c:pt idx="10">
                  <c:v>Ocenianie uczniów </c:v>
                </c:pt>
                <c:pt idx="11">
                  <c:v>Znajomość podstawy programowej</c:v>
                </c:pt>
                <c:pt idx="12">
                  <c:v>Kompetencje pedagogiczne w zakresie nauczania mojego przedmiotu(ów) </c:v>
                </c:pt>
                <c:pt idx="13">
                  <c:v>Wiedza i zrozumienie przedmiotu(ów), którego(ych) uczę </c:v>
                </c:pt>
              </c:strCache>
            </c:strRef>
          </c:cat>
          <c:val>
            <c:numRef>
              <c:f>'[Potrzeby_dosk_poprawione (3).xlsx]dane-potrzeby'!$C$4:$C$17</c:f>
              <c:numCache>
                <c:formatCode>0%</c:formatCode>
                <c:ptCount val="14"/>
                <c:pt idx="0">
                  <c:v>0.22250859153463698</c:v>
                </c:pt>
                <c:pt idx="1">
                  <c:v>0.17761873726695193</c:v>
                </c:pt>
                <c:pt idx="2">
                  <c:v>0.13052652926584432</c:v>
                </c:pt>
                <c:pt idx="3">
                  <c:v>0.18864680691682675</c:v>
                </c:pt>
                <c:pt idx="4">
                  <c:v>0.12516260852320393</c:v>
                </c:pt>
                <c:pt idx="5">
                  <c:v>0.12358770831685012</c:v>
                </c:pt>
                <c:pt idx="6">
                  <c:v>0.11035647258511536</c:v>
                </c:pt>
                <c:pt idx="7">
                  <c:v>8.6886752766761846E-2</c:v>
                </c:pt>
                <c:pt idx="8">
                  <c:v>0.12674589847021672</c:v>
                </c:pt>
                <c:pt idx="9">
                  <c:v>0.10371976425080857</c:v>
                </c:pt>
                <c:pt idx="10">
                  <c:v>0.11626390519644664</c:v>
                </c:pt>
                <c:pt idx="11">
                  <c:v>7.9281353702966739E-2</c:v>
                </c:pt>
                <c:pt idx="12">
                  <c:v>9.7414221513483057E-2</c:v>
                </c:pt>
                <c:pt idx="13">
                  <c:v>8.6783969293753427E-2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379869384"/>
        <c:axId val="379869776"/>
      </c:barChart>
      <c:catAx>
        <c:axId val="37986938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pl-PL"/>
          </a:p>
        </c:txPr>
        <c:crossAx val="379869776"/>
        <c:crosses val="autoZero"/>
        <c:auto val="1"/>
        <c:lblAlgn val="ctr"/>
        <c:lblOffset val="100"/>
        <c:tickMarkSkip val="1"/>
        <c:noMultiLvlLbl val="0"/>
      </c:catAx>
      <c:valAx>
        <c:axId val="379869776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%" sourceLinked="1"/>
        <c:majorTickMark val="out"/>
        <c:minorTickMark val="none"/>
        <c:tickLblPos val="nextTo"/>
        <c:crossAx val="379869384"/>
        <c:crosses val="max"/>
        <c:crossBetween val="between"/>
      </c:valAx>
      <c:spPr>
        <a:solidFill>
          <a:sysClr val="window" lastClr="FFFFFF">
            <a:lumMod val="95000"/>
          </a:sysClr>
        </a:solidFill>
      </c:spPr>
    </c:plotArea>
    <c:legend>
      <c:legendPos val="b"/>
      <c:overlay val="0"/>
      <c:txPr>
        <a:bodyPr/>
        <a:lstStyle/>
        <a:p>
          <a:pPr>
            <a:defRPr sz="1200" b="1"/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>
        <a:lumMod val="95000"/>
      </a:sysClr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[talis2013_wykresy_efficacy.xlsx]Arkusz1!$J$6</c:f>
              <c:strCache>
                <c:ptCount val="1"/>
                <c:pt idx="0">
                  <c:v>Wdrażać alternatywne sposoby nauczania w mojej klasie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[talis2013_wykresy_efficacy.xlsx]Arkusz1!$I$7:$I$40</c:f>
              <c:strCache>
                <c:ptCount val="34"/>
                <c:pt idx="0">
                  <c:v>Japonia</c:v>
                </c:pt>
                <c:pt idx="1">
                  <c:v>Czechy</c:v>
                </c:pt>
                <c:pt idx="2">
                  <c:v>Estonia</c:v>
                </c:pt>
                <c:pt idx="3">
                  <c:v>Łotwa</c:v>
                </c:pt>
                <c:pt idx="4">
                  <c:v>Holandia</c:v>
                </c:pt>
                <c:pt idx="5">
                  <c:v>Korea</c:v>
                </c:pt>
                <c:pt idx="6">
                  <c:v>Norwegia</c:v>
                </c:pt>
                <c:pt idx="7">
                  <c:v>Polska</c:v>
                </c:pt>
                <c:pt idx="8">
                  <c:v>Finlandia</c:v>
                </c:pt>
                <c:pt idx="9">
                  <c:v>Bułgaria</c:v>
                </c:pt>
                <c:pt idx="10">
                  <c:v>Szwecja</c:v>
                </c:pt>
                <c:pt idx="11">
                  <c:v>Singapur</c:v>
                </c:pt>
                <c:pt idx="12">
                  <c:v>Flandria (Belgia)</c:v>
                </c:pt>
                <c:pt idx="13">
                  <c:v>Serbia</c:v>
                </c:pt>
                <c:pt idx="14">
                  <c:v>Średnia</c:v>
                </c:pt>
                <c:pt idx="15">
                  <c:v>Islandia</c:v>
                </c:pt>
                <c:pt idx="16">
                  <c:v>Izrael</c:v>
                </c:pt>
                <c:pt idx="17">
                  <c:v>Słowacja</c:v>
                </c:pt>
                <c:pt idx="18">
                  <c:v>Francja</c:v>
                </c:pt>
                <c:pt idx="19">
                  <c:v>Australia</c:v>
                </c:pt>
                <c:pt idx="20">
                  <c:v>Hiszpania</c:v>
                </c:pt>
                <c:pt idx="21">
                  <c:v>Alberta (Kanada)</c:v>
                </c:pt>
                <c:pt idx="22">
                  <c:v>Anglia (Wielka Brytania)</c:v>
                </c:pt>
                <c:pt idx="23">
                  <c:v>Dania</c:v>
                </c:pt>
                <c:pt idx="24">
                  <c:v>Meksyk</c:v>
                </c:pt>
                <c:pt idx="25">
                  <c:v>Brazylia</c:v>
                </c:pt>
                <c:pt idx="26">
                  <c:v>Cypr</c:v>
                </c:pt>
                <c:pt idx="27">
                  <c:v>Chile</c:v>
                </c:pt>
                <c:pt idx="28">
                  <c:v>Malezja</c:v>
                </c:pt>
                <c:pt idx="29">
                  <c:v>Włochy</c:v>
                </c:pt>
                <c:pt idx="30">
                  <c:v>Chorwacja</c:v>
                </c:pt>
                <c:pt idx="31">
                  <c:v>Rumunia</c:v>
                </c:pt>
                <c:pt idx="32">
                  <c:v>Abu Zabi (ZEA)</c:v>
                </c:pt>
                <c:pt idx="33">
                  <c:v>Portugalia</c:v>
                </c:pt>
              </c:strCache>
            </c:strRef>
          </c:cat>
          <c:val>
            <c:numRef>
              <c:f>[talis2013_wykresy_efficacy.xlsx]Arkusz1!$J$7:$J$40</c:f>
              <c:numCache>
                <c:formatCode>General</c:formatCode>
                <c:ptCount val="34"/>
                <c:pt idx="0">
                  <c:v>0.43628161556403022</c:v>
                </c:pt>
                <c:pt idx="1">
                  <c:v>0.52232229121981721</c:v>
                </c:pt>
                <c:pt idx="2">
                  <c:v>0.59812068709819666</c:v>
                </c:pt>
                <c:pt idx="3">
                  <c:v>0.62112524873306252</c:v>
                </c:pt>
                <c:pt idx="4">
                  <c:v>0.62151704099213656</c:v>
                </c:pt>
                <c:pt idx="5">
                  <c:v>0.6248709390474847</c:v>
                </c:pt>
                <c:pt idx="6">
                  <c:v>0.65959913130176628</c:v>
                </c:pt>
                <c:pt idx="7">
                  <c:v>0.65991495315684978</c:v>
                </c:pt>
                <c:pt idx="8">
                  <c:v>0.68228844407210398</c:v>
                </c:pt>
                <c:pt idx="9">
                  <c:v>0.69622377086045284</c:v>
                </c:pt>
                <c:pt idx="10">
                  <c:v>0.71660888443287951</c:v>
                </c:pt>
                <c:pt idx="11">
                  <c:v>0.72829886288922863</c:v>
                </c:pt>
                <c:pt idx="12">
                  <c:v>0.73217399993774657</c:v>
                </c:pt>
                <c:pt idx="13">
                  <c:v>0.74086785518213061</c:v>
                </c:pt>
                <c:pt idx="14">
                  <c:v>0.77366263674244917</c:v>
                </c:pt>
                <c:pt idx="15">
                  <c:v>0.77397658579175166</c:v>
                </c:pt>
                <c:pt idx="16">
                  <c:v>0.77831093719274669</c:v>
                </c:pt>
                <c:pt idx="17">
                  <c:v>0.80582194753643277</c:v>
                </c:pt>
                <c:pt idx="18">
                  <c:v>0.82234898246288868</c:v>
                </c:pt>
                <c:pt idx="19">
                  <c:v>0.82739697503339338</c:v>
                </c:pt>
                <c:pt idx="20">
                  <c:v>0.83242155360662085</c:v>
                </c:pt>
                <c:pt idx="21">
                  <c:v>0.84046083997714582</c:v>
                </c:pt>
                <c:pt idx="22">
                  <c:v>0.84554303193007341</c:v>
                </c:pt>
                <c:pt idx="23">
                  <c:v>0.86647308858981831</c:v>
                </c:pt>
                <c:pt idx="24">
                  <c:v>0.87513298520084348</c:v>
                </c:pt>
                <c:pt idx="25">
                  <c:v>0.87903405554187675</c:v>
                </c:pt>
                <c:pt idx="26">
                  <c:v>0.88102296541800196</c:v>
                </c:pt>
                <c:pt idx="27">
                  <c:v>0.88873058777467606</c:v>
                </c:pt>
                <c:pt idx="28">
                  <c:v>0.89526032677094347</c:v>
                </c:pt>
                <c:pt idx="29">
                  <c:v>0.91293484578782191</c:v>
                </c:pt>
                <c:pt idx="30">
                  <c:v>0.92337713306153868</c:v>
                </c:pt>
                <c:pt idx="31">
                  <c:v>0.93213620380642626</c:v>
                </c:pt>
                <c:pt idx="32">
                  <c:v>0.95148138374375291</c:v>
                </c:pt>
                <c:pt idx="33">
                  <c:v>0.9587888587861837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73752"/>
        <c:axId val="375774536"/>
      </c:barChart>
      <c:catAx>
        <c:axId val="3757737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375774536"/>
        <c:crosses val="autoZero"/>
        <c:auto val="1"/>
        <c:lblAlgn val="ctr"/>
        <c:lblOffset val="100"/>
        <c:tickLblSkip val="1"/>
        <c:noMultiLvlLbl val="0"/>
      </c:catAx>
      <c:valAx>
        <c:axId val="375774536"/>
        <c:scaling>
          <c:orientation val="minMax"/>
          <c:max val="1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375773752"/>
        <c:crosses val="autoZero"/>
        <c:crossBetween val="between"/>
        <c:majorUnit val="0.1"/>
      </c:valAx>
      <c:spPr>
        <a:solidFill>
          <a:sysClr val="window" lastClr="FFFFFF">
            <a:lumMod val="95000"/>
          </a:sysClr>
        </a:solidFill>
      </c:spPr>
    </c:plotArea>
    <c:plotVisOnly val="1"/>
    <c:dispBlanksAs val="gap"/>
    <c:showDLblsOverMax val="0"/>
  </c:chart>
  <c:spPr>
    <a:solidFill>
      <a:sysClr val="window" lastClr="FFFFFF">
        <a:lumMod val="95000"/>
      </a:sysClr>
    </a:solidFill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[talis2013_wykresy_efficacy.xlsx]Arkusz1!$V$6</c:f>
              <c:strCache>
                <c:ptCount val="1"/>
                <c:pt idx="0">
                  <c:v>Pomagać uczniom w krytycznym myśleniu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rgbClr val="C00000"/>
              </a:solidFill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[talis2013_wykresy_efficacy.xlsx]Arkusz1!$U$7:$U$40</c:f>
              <c:strCache>
                <c:ptCount val="34"/>
                <c:pt idx="0">
                  <c:v>Japonia</c:v>
                </c:pt>
                <c:pt idx="1">
                  <c:v>Czechy</c:v>
                </c:pt>
                <c:pt idx="2">
                  <c:v>Korea</c:v>
                </c:pt>
                <c:pt idx="3">
                  <c:v>Norwegia</c:v>
                </c:pt>
                <c:pt idx="4">
                  <c:v>Finlandia</c:v>
                </c:pt>
                <c:pt idx="5">
                  <c:v>Islandia</c:v>
                </c:pt>
                <c:pt idx="6">
                  <c:v>Estonia</c:v>
                </c:pt>
                <c:pt idx="7">
                  <c:v>Singapur</c:v>
                </c:pt>
                <c:pt idx="8">
                  <c:v>Szwecja</c:v>
                </c:pt>
                <c:pt idx="9">
                  <c:v>Polska</c:v>
                </c:pt>
                <c:pt idx="10">
                  <c:v>Izrael</c:v>
                </c:pt>
                <c:pt idx="11">
                  <c:v>Holandia</c:v>
                </c:pt>
                <c:pt idx="12">
                  <c:v>Chorwacja</c:v>
                </c:pt>
                <c:pt idx="13">
                  <c:v>Australia</c:v>
                </c:pt>
                <c:pt idx="14">
                  <c:v>Hiszpania</c:v>
                </c:pt>
                <c:pt idx="15">
                  <c:v>Średnia</c:v>
                </c:pt>
                <c:pt idx="16">
                  <c:v>Anglia (Wielka Brytania)</c:v>
                </c:pt>
                <c:pt idx="17">
                  <c:v>Alberta (Kanada)</c:v>
                </c:pt>
                <c:pt idx="18">
                  <c:v>Bułgaria</c:v>
                </c:pt>
                <c:pt idx="19">
                  <c:v>Łotwa</c:v>
                </c:pt>
                <c:pt idx="20">
                  <c:v>Serbia</c:v>
                </c:pt>
                <c:pt idx="21">
                  <c:v>Flandria (Belgia)</c:v>
                </c:pt>
                <c:pt idx="22">
                  <c:v>Francja</c:v>
                </c:pt>
                <c:pt idx="23">
                  <c:v>Meksyk</c:v>
                </c:pt>
                <c:pt idx="24">
                  <c:v>Chile</c:v>
                </c:pt>
                <c:pt idx="25">
                  <c:v>Słowacja</c:v>
                </c:pt>
                <c:pt idx="26">
                  <c:v>Malezja</c:v>
                </c:pt>
                <c:pt idx="27">
                  <c:v>Dania</c:v>
                </c:pt>
                <c:pt idx="28">
                  <c:v>Abu Zabi (ZEA)</c:v>
                </c:pt>
                <c:pt idx="29">
                  <c:v>Rumunia</c:v>
                </c:pt>
                <c:pt idx="30">
                  <c:v>Cypr</c:v>
                </c:pt>
                <c:pt idx="31">
                  <c:v>Włochy</c:v>
                </c:pt>
                <c:pt idx="32">
                  <c:v>Brazylia</c:v>
                </c:pt>
                <c:pt idx="33">
                  <c:v>Portugalia</c:v>
                </c:pt>
              </c:strCache>
            </c:strRef>
          </c:cat>
          <c:val>
            <c:numRef>
              <c:f>[talis2013_wykresy_efficacy.xlsx]Arkusz1!$V$7:$V$40</c:f>
              <c:numCache>
                <c:formatCode>General</c:formatCode>
                <c:ptCount val="34"/>
                <c:pt idx="0">
                  <c:v>0.156404016670987</c:v>
                </c:pt>
                <c:pt idx="1">
                  <c:v>0.51770230830093322</c:v>
                </c:pt>
                <c:pt idx="2">
                  <c:v>0.63630410343022858</c:v>
                </c:pt>
                <c:pt idx="3">
                  <c:v>0.66596689799943265</c:v>
                </c:pt>
                <c:pt idx="4">
                  <c:v>0.72781230773148919</c:v>
                </c:pt>
                <c:pt idx="5">
                  <c:v>0.74608614408348317</c:v>
                </c:pt>
                <c:pt idx="6">
                  <c:v>0.7484689784320403</c:v>
                </c:pt>
                <c:pt idx="7">
                  <c:v>0.74922736446427562</c:v>
                </c:pt>
                <c:pt idx="8">
                  <c:v>0.75052937225671812</c:v>
                </c:pt>
                <c:pt idx="9">
                  <c:v>0.77484910843525723</c:v>
                </c:pt>
                <c:pt idx="10">
                  <c:v>0.77556697799133989</c:v>
                </c:pt>
                <c:pt idx="11">
                  <c:v>0.77783919918953381</c:v>
                </c:pt>
                <c:pt idx="12">
                  <c:v>0.77925880200587649</c:v>
                </c:pt>
                <c:pt idx="13">
                  <c:v>0.78412370853469004</c:v>
                </c:pt>
                <c:pt idx="14">
                  <c:v>0.78858677431018354</c:v>
                </c:pt>
                <c:pt idx="15">
                  <c:v>0.80299390863254805</c:v>
                </c:pt>
                <c:pt idx="16">
                  <c:v>0.81374946640775714</c:v>
                </c:pt>
                <c:pt idx="17">
                  <c:v>0.82246482441360513</c:v>
                </c:pt>
                <c:pt idx="18">
                  <c:v>0.8245303344214856</c:v>
                </c:pt>
                <c:pt idx="19">
                  <c:v>0.82962195688257934</c:v>
                </c:pt>
                <c:pt idx="20">
                  <c:v>0.84322122658338405</c:v>
                </c:pt>
                <c:pt idx="21">
                  <c:v>0.87393617927123257</c:v>
                </c:pt>
                <c:pt idx="22">
                  <c:v>0.88702173560600062</c:v>
                </c:pt>
                <c:pt idx="23">
                  <c:v>0.88777253228619568</c:v>
                </c:pt>
                <c:pt idx="24">
                  <c:v>0.90177317945982061</c:v>
                </c:pt>
                <c:pt idx="25">
                  <c:v>0.9022794743099396</c:v>
                </c:pt>
                <c:pt idx="26">
                  <c:v>0.91924990442965115</c:v>
                </c:pt>
                <c:pt idx="27">
                  <c:v>0.92801374496484457</c:v>
                </c:pt>
                <c:pt idx="28">
                  <c:v>0.93140968356751042</c:v>
                </c:pt>
                <c:pt idx="29">
                  <c:v>0.93368257583079317</c:v>
                </c:pt>
                <c:pt idx="30">
                  <c:v>0.9462054162096627</c:v>
                </c:pt>
                <c:pt idx="31">
                  <c:v>0.94915725107890581</c:v>
                </c:pt>
                <c:pt idx="32">
                  <c:v>0.95141578984754205</c:v>
                </c:pt>
                <c:pt idx="33">
                  <c:v>0.97456764546670582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741136"/>
        <c:axId val="308737608"/>
      </c:barChart>
      <c:catAx>
        <c:axId val="3087411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308737608"/>
        <c:crosses val="autoZero"/>
        <c:auto val="1"/>
        <c:lblAlgn val="ctr"/>
        <c:lblOffset val="100"/>
        <c:tickLblSkip val="1"/>
        <c:noMultiLvlLbl val="0"/>
      </c:catAx>
      <c:valAx>
        <c:axId val="308737608"/>
        <c:scaling>
          <c:orientation val="minMax"/>
          <c:max val="1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308741136"/>
        <c:crosses val="autoZero"/>
        <c:crossBetween val="between"/>
        <c:majorUnit val="0.1"/>
      </c:valAx>
      <c:spPr>
        <a:solidFill>
          <a:sysClr val="window" lastClr="FFFFFF">
            <a:lumMod val="95000"/>
          </a:sysClr>
        </a:solidFill>
      </c:spPr>
    </c:plotArea>
    <c:plotVisOnly val="1"/>
    <c:dispBlanksAs val="gap"/>
    <c:showDLblsOverMax val="0"/>
  </c:chart>
  <c:spPr>
    <a:solidFill>
      <a:sysClr val="window" lastClr="FFFFFF">
        <a:lumMod val="95000"/>
      </a:sysClr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BC363-514E-402E-8A69-36F7E05B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Links>
    <vt:vector size="18" baseType="variant"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cp:lastModifiedBy>IBE</cp:lastModifiedBy>
  <cp:revision>4</cp:revision>
  <cp:lastPrinted>2014-06-24T12:25:00Z</cp:lastPrinted>
  <dcterms:created xsi:type="dcterms:W3CDTF">2014-06-25T08:35:00Z</dcterms:created>
  <dcterms:modified xsi:type="dcterms:W3CDTF">2014-06-25T08:36:00Z</dcterms:modified>
</cp:coreProperties>
</file>